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172 KAGB — Besondere Anforderungen an Kapitalverwaltungsgesellschaften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Verwaltet eine Kapitalverwaltungsgesellschaft Masterfonds und Feederfonds, muss sie so organisiert sein, dass das Risiko von Interessenkonflikten zwischen Feederfonds und Masterfonds oder zwischen Feederfonds und anderen Anlegern des Masterfonds möglichst gering ist. Die Kapitalverwaltungsgesellschaft muss insbesondere geeignete Regelungen zu den Kosten und Gebühren festlegen, die der Feederfonds zu tragen hat. Sie muss gegebenenfalls geeignete Regelungen festlegen zu Rückerstattungen des Masterfonds an den Feederfonds sowie zu den Anteil-oder Aktienklassen des Masterfonds, die von Feederfonds erworben werden können.</w:t>
      </w:r>
    </w:p>
    <w:p>
      <w:r>
        <w:t xml:space="preserve">(2) Bei der Anwendung von angemessenen Grundsätzen und Verfahren gemäß § 26 Absatz 6 zur Verhinderung von Beeinträchtigungen der Marktstabilität und Marktintegrität sind insbesondere angemessene Maßnahmen zur Abstimmung der Zeitpläne für die Berechnung und Veröffentlichung des Wertes von Investmentvermögen, insbesondere von Masterfonds und Feederfonds, zu treffen.</w:t>
      </w:r>
    </w:p>
    <w:p>
      <w:r>
        <w:rPr>
          <w:color w:val="555555"/>
          <w:sz w:val="17"/>
        </w:rPr>
        <w:t xml:space="preserve">Zitiervorschlag: § 172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