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171 KAGB — Genehmigung des Feederfonds</w:t>
      </w:r>
    </w:p>
    <w:p>
      <w:r>
        <w:rPr>
          <w:color w:val="555555"/>
          <w:sz w:val="18"/>
        </w:rPr>
        <w:t xml:space="preserve">Kapitalanlagegesetzbuch</w:t>
      </w:r>
    </w:p>
    <w:p>
      <w:r>
        <w:rPr>
          <w:color w:val="555555"/>
          <w:sz w:val="18"/>
        </w:rPr>
        <w:t xml:space="preserve">Stand: 01.01.2023 (konsolidierte Textfassung, kein amtliches Inkrafttretensdatum)</w:t>
      </w:r>
    </w:p>
    <w:p>
      <w:r>
        <w:t xml:space="preserve">(1) Die Anlage eines Feederfonds in einem Masterfonds bedarf der vorherigen Genehmigung durch die Bundesanstalt. Die Anlage eines inländischen OGAW als Feederfonds in einem Masterfonds ist nur genehmigungsfähig, soweit es sich bei dem Masterfonds um einen OGAW handelt. Die Anlage eines Sonstigen Investmentvermögens als Feederfonds in einem Masterfonds ist nur genehmigungsfähig, soweit es sich auch bei dem Masterfonds um ein Sonstiges Investmentvermögen handelt.</w:t>
      </w:r>
    </w:p>
    <w:p>
      <w:r>
        <w:t xml:space="preserve">(2) Spezial-AIF dürfen nicht Masterfonds oder Feederfonds einer Master-Feeder-Struktur sein, wenn Publikumsinvestmentvermögen Masterfonds oder Feederfonds derselben Master-Feeder-Struktur sind.</w:t>
      </w:r>
    </w:p>
    <w:p>
      <w:r>
        <w:t xml:space="preserve">(3) Die Kapitalverwaltungsgesellschaft, die den Feederfonds verwaltet, hat dem Genehmigungsantrag folgende Angaben und Unterlagen beizufügen:</w:t>
      </w:r>
    </w:p>
    <w:p>
      <w:pPr>
        <w:ind w:left="420"/>
      </w:pPr>
      <w:r>
        <w:t xml:space="preserve">1. die Anlagebedingungen oder die Satzung des Feederfonds und des Masterfonds,</w:t>
      </w:r>
    </w:p>
    <w:p>
      <w:pPr>
        <w:ind w:left="420"/>
      </w:pPr>
      <w:r>
        <w:t xml:space="preserve">2. den Verkaufsprospekt und entweder das Basisinformationsblatt gemäß Verordnung (EU) Nr. 1286/2014 oder die wesentlichen Anlegerinformationen des Feederfonds und des Masterfonds gemäß den §§ 164, 166 oder gemäß Artikel 78 der Richtlinie 2009/65/EG,</w:t>
      </w:r>
    </w:p>
    <w:p>
      <w:pPr>
        <w:ind w:left="420"/>
      </w:pPr>
      <w:r>
        <w:t xml:space="preserve">3. die Master-Feeder-Vereinbarung oder die entsprechenden internen Regelungen für Geschäftstätigkeiten gemäß § 175 Absatz 1 Satz 2 oder Artikel 60 Absatz 1 Unterabsatz 3 der Richtlinie 2009/65/EG,</w:t>
      </w:r>
    </w:p>
    <w:p>
      <w:pPr>
        <w:ind w:left="420"/>
      </w:pPr>
      <w:r>
        <w:t xml:space="preserve">4. die Verwahrstellenvereinbarung im Sinne des § 175 Absatz 2, wenn für den Masterfonds und den Feederfonds verschiedene Verwahrstellen beauftragt wurden,</w:t>
      </w:r>
    </w:p>
    <w:p>
      <w:pPr>
        <w:ind w:left="420"/>
      </w:pPr>
      <w:r>
        <w:t xml:space="preserve">5. die Abschlussprüfervereinbarung, wenn für den Masterfonds und den Feederfonds verschiedene Abschlussprüfer bestellt wurden und</w:t>
      </w:r>
    </w:p>
    <w:p>
      <w:pPr>
        <w:ind w:left="420"/>
      </w:pPr>
      <w:r>
        <w:t xml:space="preserve">6. gegebenenfalls die Informationen für die Anleger nach § 180 Absatz 1.</w:t>
      </w:r>
    </w:p>
    <w:p>
      <w:r>
        <w:t xml:space="preserve">Bei einem EU-OGAW, der Anteile an mindestens einen OGAW-Feederfonds ausgegeben hat, selbst kein Feederfonds ist und keine Anteile eines Feederfonds hält (EU-Master-OGAW) hat die Kapitalverwaltungsgesellschaft, die den Feederfonds verwaltet, außerdem eine Bestätigung der zuständigen Stelle des Herkunftsstaates des Masterfonds beizufügen, dass dieser ein EU-OGAW ist, selbst nicht Feederfonds ist und keine Anteile an einem anderen Feederfonds hält. Fremdsprachige Unterlagen sind mit einer deutschen Übersetzung vorzulegen.</w:t>
      </w:r>
    </w:p>
    <w:p>
      <w:r>
        <w:t xml:space="preserve">(4) Der beabsichtigte Wechsel der Anlage in einen anderen Masterfonds bedarf der vorherigen Genehmigung durch die Bundesanstalt gemäß Absatz 1. Dem Antrag auf Genehmigung sind folgende Angaben und Unterlagen beizufügen:</w:t>
      </w:r>
    </w:p>
    <w:p>
      <w:pPr>
        <w:ind w:left="420"/>
      </w:pPr>
      <w:r>
        <w:t xml:space="preserve">1. der Antrag auf Genehmigung der Änderung der Anlagebedingungen unter Bezeichnung des Masterfonds,</w:t>
      </w:r>
    </w:p>
    <w:p>
      <w:pPr>
        <w:ind w:left="420"/>
      </w:pPr>
      <w:r>
        <w:t xml:space="preserve">2. die vorgenommenen Änderungen des Verkaufsprospekts und entweder des Basisinformationsblattes gemäß Verordnung (EU) Nr. 1286/2014 oder der wesentlichen Anlegerinformationen und</w:t>
      </w:r>
    </w:p>
    <w:p>
      <w:pPr>
        <w:ind w:left="420"/>
      </w:pPr>
      <w:r>
        <w:t xml:space="preserve">3. die Unterlagen gemäß Absatz 3.</w:t>
      </w:r>
    </w:p>
    <w:p>
      <w:r>
        <w:t xml:space="preserve">(5) Die Bundesanstalt hat die Genehmigung nach Absatz 1 oder Absatz 4 abweichend von § 163 Absatz 2 Satz 1 innerhalb einer Frist von 15 Arbeitstagen zu erteilen, wenn alle in Absatz 3 oder Absatz 4 genannten Unterlagen vollständig vorliegen und der Feederfonds, seine Verwahrstelle und sein Abschlussprüfer sowie der Masterfonds die Anforderungen nach diesem Abschnitt erfüllen. Liegen die Voraussetzungen für die Genehmigung nicht vor, hat die Bundesanstalt dies dem Antragsteller innerhalb der Frist nach Satz 1 unter Angabe der Gründe mitzuteilen und fehlende oder geänderte Angaben oder Unterlagen anzufordern. Mit dem Eingang der angeforderten Angaben oder Unterlagen beginnt der Lauf der in Satz 1 genannten Frist erneut. Die Genehmigung gilt als erteilt, wenn über den Genehmigungsantrag nicht innerhalb der Frist nach Satz 1 entschieden worden ist und eine Mitteilung nach Satz 2 nicht erfolgt ist. Auf Antrag der Kapitalverwaltungsgesellschaft hat die Bundesanstalt die Genehmigung nach Satz 4 zu bestätigen.</w:t>
      </w:r>
    </w:p>
    <w:p>
      <w:r>
        <w:t xml:space="preserve">(6) Wird beabsichtigt, einen EU-OGAW, der mindestens 85 Prozent seines Vermögens in einem Masterfonds anlegt (EU-Feeder-OGAW), in einem inländischen OGAW als Masterfonds anzulegen, stellt die Bundesanstalt auf Antrag der EU-OGAW-Verwaltungsgesellschaft oder der Kapitalverwaltungsgesellschaft, die den Feederfonds verwaltet, eine Bescheinigung aus, mit der bestätigt wird, dass es sich bei diesem Masterfonds um einen inländischen OGAW handelt, der inländische OGAW selbst nicht ebenfalls Feederfonds ist und keine Anteile an einem Feederfonds hält. Die Bescheinigung dient zur Vorlage bei den zuständigen Stellen des Herkunftsstaates eines EU-Feeder-OGAW und als Nachweis, dass es sich bei dem Masterfonds um einen inländischen OGAW handelt, dieser selbst nicht ebenfalls Feederfonds ist und keine Anteile an einem Feederfonds hält. Zum Nachweis, dass keine Anteile an einem Feederfonds gehalten werden, hat die Verwahrstelle eine entsprechende Bestätigung auszustellen, die bei Antragstellung nicht älter als zwei Wochen sein darf.</w:t>
      </w:r>
    </w:p>
    <w:p>
      <w:r>
        <w:rPr>
          <w:color w:val="555555"/>
          <w:sz w:val="17"/>
        </w:rPr>
        <w:t xml:space="preserve">Zitiervorschlag: § 171 KAGB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https://recht.nulegal.eu/gesetze/KAGB/171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