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 KAGB — Veröffentlichung des Ausgabe- und Rücknahmepreises und des Nettoinventarwertes</w:t>
      </w:r>
    </w:p>
    <w:p>
      <w:r>
        <w:rPr>
          <w:color w:val="555555"/>
          <w:sz w:val="18"/>
        </w:rPr>
        <w:t xml:space="preserve">Kapitalanlagegesetzbuch</w:t>
      </w:r>
    </w:p>
    <w:p>
      <w:r>
        <w:rPr>
          <w:color w:val="555555"/>
          <w:sz w:val="18"/>
        </w:rPr>
        <w:t xml:space="preserve">Stand: 10.06.2019 (konsolidierte Textfassung, kein amtliches Inkrafttretensdatum)</w:t>
      </w:r>
    </w:p>
    <w:p>
      <w:r>
        <w:t xml:space="preserve">Gibt die Kapitalverwaltungsgesellschaft oder die Verwahrstelle den Ausgabepreis bekannt, so ist sie verpflichtet, auch den Rücknahmepreis bekannt zu geben; wird der Rücknahmepreis bekannt gegeben, so ist auch der Ausgabepreis bekannt zu geben. Ausgabe- und Rücknahmepreis sowie der Nettoinventarwert je Anteil oder Aktie sind bei jeder Möglichkeit zur Ausgabe oder Rücknahme von Anteilen oder Aktien, für OGAW mindestens jedoch zweimal im Monat, in einer hinreichend verbreiteten Wirtschafts- oder Tageszeitung oder im Verkaufsprospekt oder in den in den wesentlichen Anlegerinformationen bezeichneten elektronischen Informationsmedien zu veröffentlichen.</w:t>
      </w:r>
    </w:p>
    <w:p>
      <w:r>
        <w:rPr>
          <w:color w:val="555555"/>
          <w:sz w:val="17"/>
        </w:rPr>
        <w:t xml:space="preserve">Zitiervorschlag: § 170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