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KAGB — Kapitalverwaltungsgesellschaften</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Kapitalverwaltungsgesellschaften sind Unternehmen mit satzungsmäßigem Sitz und Hauptverwaltung im Inland, deren Geschäftsbetrieb darauf gerichtet ist, inländische Investmentvermögen, EU-Investmentvermögen oder ausländische AIF zu verwalten. Verwaltung eines Investmentvermögens liegt vor, wenn mindestens die Portfolioverwaltung oder das Risikomanagement für ein oder mehrere Investmentvermögen erbracht wird.</w:t>
      </w:r>
    </w:p>
    <w:p>
      <w:r>
        <w:t xml:space="preserve">(2) Die Kapitalverwaltungsgesellschaft ist entweder</w:t>
      </w:r>
    </w:p>
    <w:p>
      <w:pPr>
        <w:ind w:left="420"/>
      </w:pPr>
      <w:r>
        <w:t xml:space="preserve">1. eine externe Kapitalverwaltungsgesellschaft, die vom Investmentvermögen oder im Namen des Investmentvermögens bestellt ist und auf Grund dieser Bestellung für die Verwaltung des Investmentvermögens verantwortlich ist (externe Kapitalverwaltungsgesellschaft), oder</w:t>
      </w:r>
    </w:p>
    <w:p>
      <w:pPr>
        <w:ind w:left="420"/>
      </w:pPr>
      <w:r>
        <w:t xml:space="preserve">2. das Investmentvermögen selbst, wenn die Rechtsform des Investmentvermögens eine interne Verwaltung zulässt und der Vorstand oder die Geschäftsführung des Investmentvermögens entscheidet, keine externe Kapitalverwaltungsgesellschaft zu bestellen (interne Kapitalverwaltungsgesellschaft). In diesem Fall wird das Investmentvermögen als Kapitalverwaltungsgesellschaft zugelassen.</w:t>
      </w:r>
    </w:p>
    <w:p>
      <w:r>
        <w:t xml:space="preserve">(3) Für jedes Investmentvermögen kann nur eine Kapitalverwaltungsgesellschaft zuständig sein, die für die Einhaltung der Anforderungen dieses Gesetzes verantwortlich ist.</w:t>
      </w:r>
    </w:p>
    <w:p>
      <w:r>
        <w:rPr>
          <w:color w:val="555555"/>
          <w:sz w:val="17"/>
        </w:rPr>
        <w:t xml:space="preserve">Zitiervorschlag: § 17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