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16a KAGB — Verbot von Verbraucherkrediten</w:t>
      </w:r>
    </w:p>
    <w:p>
      <w:r>
        <w:rPr>
          <w:color w:val="555555"/>
          <w:sz w:val="18"/>
        </w:rPr>
        <w:t xml:space="preserve">Kapitalanlagegesetzbuch</w:t>
      </w:r>
    </w:p>
    <w:p>
      <w:r>
        <w:rPr>
          <w:color w:val="555555"/>
          <w:sz w:val="18"/>
        </w:rPr>
        <w:t xml:space="preserve">Stand: 18.04.2026 (konsolidierte Textfassung, kein amtliches Inkrafttretensdatum)</w:t>
      </w:r>
    </w:p>
    <w:p>
      <w:r>
        <w:t xml:space="preserve">AIF dürfen im Geltungsbereich dieses Gesetzes keine Kredite an Verbraucher im Sinne von § 13 des Bürgerlichen Gesetzbuchs vergeben und keine Kreditdienstleistungen für solche Verbraucher erbringen.</w:t>
      </w:r>
    </w:p>
    <w:p>
      <w:r>
        <w:rPr>
          <w:color w:val="555555"/>
          <w:sz w:val="17"/>
        </w:rPr>
        <w:t xml:space="preserve">Zitiervorschlag: § 16a KAGB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https://recht.nulegal.eu/gesetze/KAGB/16a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