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169 KAGB — Bewertungsverfahren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Kapitalverwaltungsgesellschaft hat eine interne Bewertungsrichtlinie zu erstellen. Die Bewertungsrichtlinie legt geeignete und kohärente Verfahren für die ordnungsgemäße, transparente und unabhängige Bewertung der Vermögensgegenstände des Investmentvermögens fest. Die Bewertungsrichtlinie soll vorsehen, dass für jeden Vermögensgegenstand ein geeignetes, am jeweiligen Markt anerkanntes Wertermittlungsverfahren zugrunde zu legen ist und dass die Auswahl des Verfahrens zu begründen ist.</w:t>
      </w:r>
    </w:p>
    <w:p>
      <w:r>
        <w:t xml:space="preserve">(2) Die Bewertung der Vermögensgegenstände hat unparteiisch und mit der gebotenen Sachkenntnis, Sorgfalt und Gewissenhaftigkeit zu erfolgen.</w:t>
      </w:r>
    </w:p>
    <w:p>
      <w:r>
        <w:t xml:space="preserve">(3) Die Kriterien für die Verfahren für die ordnungsgemäße Bewertung der Vermögensgegenstände und für die Berechnung des Nettoinventarwertes pro Anteil oder Aktie sowie deren konsistente Anwendung und die Überprüfung der Verfahren, Methoden und für Berechnungen bestimmen sich nach den Artikeln 67 bis 74 der Delegierten Verordnung (EU) Nr. 231/2013. Für das Bewertungsverfahren bei inländischen OGAW sind die Artikel 67 bis 74 der Delegierten Verordnung (EU) Nr. 231/2013 entsprechend anzuwenden.</w:t>
      </w:r>
    </w:p>
    <w:p>
      <w:r>
        <w:rPr>
          <w:color w:val="555555"/>
          <w:sz w:val="17"/>
        </w:rPr>
        <w:t xml:space="preserve">Zitiervorschlag: § 169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