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165 KAGB — Mindestangaben im Verkaufsprospekt</w:t>
      </w:r>
    </w:p>
    <w:p>
      <w:r>
        <w:rPr>
          <w:color w:val="555555"/>
          <w:sz w:val="18"/>
        </w:rPr>
        <w:t xml:space="preserve">Kapitalanlagegesetzbuch</w:t>
      </w:r>
    </w:p>
    <w:p>
      <w:r>
        <w:rPr>
          <w:color w:val="555555"/>
          <w:sz w:val="18"/>
        </w:rPr>
        <w:t xml:space="preserve">Stand: 25.04.2026 (konsolidierte Textfassung, kein amtliches Inkrafttretensdatum)</w:t>
      </w:r>
    </w:p>
    <w:p>
      <w:r>
        <w:t xml:space="preserve">(1) Der Verkaufsprospekt eines offenen Publikumsinvestmentvermögens muss mit einem Datum versehen sein und die Angaben enthalten, die erforderlich sind, damit sich die Anleger über die ihnen angebotene Anlage und insbesondere über die damit verbundenen Risiken ein begründetes Urteil bilden können. Der Verkaufsprospekt muss redlich und eindeutig und darf nicht irreführend sein.</w:t>
      </w:r>
    </w:p>
    <w:p>
      <w:r>
        <w:t xml:space="preserve">(2) Der Verkaufsprospekt muss neben dem Namen des Investmentvermögens, auf das er sich bezieht, mindestens folgende Angaben enthalten:</w:t>
      </w:r>
    </w:p>
    <w:p>
      <w:pPr>
        <w:ind w:left="420"/>
      </w:pPr>
      <w:r>
        <w:t xml:space="preserve">1. Zeitpunkt der Auflegung des Investmentvermögens sowie Angabe der Laufzeit;</w:t>
      </w:r>
    </w:p>
    <w:p>
      <w:pPr>
        <w:ind w:left="420"/>
      </w:pPr>
      <w:r>
        <w:t xml:space="preserve">2. an hervorgehobener Stelle eine Beschreibung der Anlageziele des Investmentvermögens einschließlich der finanziellen Ziele und Beschreibung der Anlagepolitik und -strategie, einschließlich etwaiger Konkretisierungen und Beschränkungen bezüglich dieser Anlagepolitik und -strategie; eine Beschreibung der Art der Vermögensgegenstände, in die das Investmentvermögen investieren darf sowie die Angabe etwaiger Techniken und Instrumente, von denen bei der Verwaltung des Investmentvermögens Gebrauch gemacht werden kann und aller damit verbundenen Risiken, Interessenkonflikte und Auswirkungen auf die Wertentwicklung des Investmentvermögens; Beschreibung der wesentlichen Merkmale der für das Investmentvermögen erwerbbaren Anteile oder Aktien an Investmentvermögen einschließlich der maßgeblichen Anlagegrundsätze und -grenzen und des Sitzes der Zielinvestmentvermögen;</w:t>
      </w:r>
    </w:p>
    <w:p>
      <w:pPr>
        <w:ind w:left="420"/>
      </w:pPr>
      <w:r>
        <w:t xml:space="preserve">3. eindeutige und leicht verständliche Erläuterung des Risikoprofils des Investmentvermögens;</w:t>
      </w:r>
    </w:p>
    <w:p>
      <w:pPr>
        <w:ind w:left="420"/>
      </w:pPr>
      <w:r>
        <w:t xml:space="preserve">4. Hinweis, dass der am Erwerb eines Anteils oder einer Aktie Interessierte Informationen über die Anlagegrenzen des Risikomanagements, die Risikomanagementmethoden und die jüngsten Entwicklungen bei den Risiken und Renditen der wichtigsten Kategorien von Vermögensgegenständen des Investmentvermögens verlangen kann und Angabe der Stellen, wo der am Erwerb eines Anteils oder einer Aktie Interessierte diese Informationen in welcher Form erhalten kann;</w:t>
      </w:r>
    </w:p>
    <w:p>
      <w:pPr>
        <w:ind w:left="420"/>
      </w:pPr>
      <w:r>
        <w:t xml:space="preserve">5. Zulässigkeit von Kreditaufnahmen für Rechnung des Investmentvermögens;</w:t>
      </w:r>
    </w:p>
    <w:p>
      <w:pPr>
        <w:ind w:left="420"/>
      </w:pPr>
      <w:r>
        <w:t xml:space="preserve">6. Umstände, unter denen das Investmentvermögen Leverage einsetzen kann, Art und Herkunft des zulässigen Leverage und die damit verbundenen Risiken, sonstige Beschränkungen für den Einsatz von Leverage sowie den maximalen Umfang des Leverage, die die Verwaltungsgesellschaft für Rechnung des Investmentvermögens einsetzen dürfen; bei inländischen OGAW kann die Angabe des maximalen Umfangs des Leverage durch die Angabe des maximalen Marktrisikopotenzials, gegebenenfalls ergänzt um die Angabe des erwarteten Leverage, ersetzt werden;</w:t>
      </w:r>
    </w:p>
    <w:p>
      <w:pPr>
        <w:ind w:left="420"/>
      </w:pPr>
      <w:r>
        <w:t xml:space="preserve">7. Handhabung von Sicherheiten, insbesondere Art und Umfang der geforderten Sicherheiten und die Wiederverwendung von Sicherheiten und Vermögensgegenständen, sowie die sich daraus ergebenden Risiken;</w:t>
      </w:r>
    </w:p>
    <w:p>
      <w:pPr>
        <w:ind w:left="420"/>
      </w:pPr>
      <w:r>
        <w:t xml:space="preserve">8. Angaben zu den Kosten einschließlich Ausgabeaufschlag und Rückgabeabschlag nach Maßgabe von Absatz 3;</w:t>
      </w:r>
    </w:p>
    <w:p>
      <w:pPr>
        <w:ind w:left="420"/>
      </w:pPr>
      <w:r>
        <w:t xml:space="preserve">9. gegebenenfalls bisherige Wertentwicklung des Investmentvermögens und gegebenenfalls der Anteil- oder Aktienklassen zusammen mit einem Warnhinweis, dass die bisherige Wertentwicklung kein Indikator für die zukünftige Wertentwicklung ist;</w:t>
      </w:r>
    </w:p>
    <w:p>
      <w:pPr>
        <w:ind w:left="420"/>
      </w:pPr>
      <w:r>
        <w:t xml:space="preserve">10. Profil des typischen Anlegers, für den das Investmentvermögen konzipiert ist;</w:t>
      </w:r>
    </w:p>
    <w:p>
      <w:pPr>
        <w:ind w:left="420"/>
      </w:pPr>
      <w:r>
        <w:t xml:space="preserve">11. Beschreibung der Verfahren, nach denen das Investmentvermögen seine Anlagestrategie oder seine Anlagepolitik oder beides ändern kann;</w:t>
      </w:r>
    </w:p>
    <w:p>
      <w:pPr>
        <w:ind w:left="420"/>
      </w:pPr>
      <w:r>
        <w:t xml:space="preserve">12. Voraussetzungen für die Auflösung und Übertragung des Investmentvermögens unter Angabe von Einzelheiten insbesondere bezüglich der Rechte der Anleger;</w:t>
      </w:r>
    </w:p>
    <w:p>
      <w:pPr>
        <w:ind w:left="420"/>
      </w:pPr>
      <w:r>
        <w:t xml:space="preserve">13. Beschreibung, in welcher Weise und zu welchem Zeitpunkt die gemäß § 300 erforderlichen Informationen offengelegt werden;</w:t>
      </w:r>
    </w:p>
    <w:p>
      <w:pPr>
        <w:ind w:left="420"/>
      </w:pPr>
      <w:r>
        <w:t xml:space="preserve">14. Beschreibung der Regeln für die Ermittlung und Verwendung der Erträge;</w:t>
      </w:r>
    </w:p>
    <w:p>
      <w:pPr>
        <w:ind w:left="420"/>
      </w:pPr>
      <w:r>
        <w:t xml:space="preserve">15. Kurzangaben über die für die Anleger bedeutsamen Steuervorschriften einschließlich der Angabe, ob ausgeschüttete Erträge des Investmentvermögens einem Quellensteuerabzug unterliegen;</w:t>
      </w:r>
    </w:p>
    <w:p>
      <w:pPr>
        <w:ind w:left="420"/>
      </w:pPr>
      <w:r>
        <w:t xml:space="preserve">16. Ende des Geschäftsjahres des Investmentvermögens; Häufigkeit der Ausschüttung von Erträgen;</w:t>
      </w:r>
    </w:p>
    <w:p>
      <w:pPr>
        <w:ind w:left="420"/>
      </w:pPr>
      <w:r>
        <w:t xml:space="preserve">17. Angabe der Stellen, bei denen die Jahresberichte und Halbjahresberichte über das Investmentvermögen erhältlich sind;</w:t>
      </w:r>
    </w:p>
    <w:p>
      <w:pPr>
        <w:ind w:left="420"/>
      </w:pPr>
      <w:r>
        <w:t xml:space="preserve">18. Name des Abschlussprüfers, der mit der Prüfung des Investmentvermögens einschließlich des Jahresberichtes beauftragt ist;</w:t>
      </w:r>
    </w:p>
    <w:p>
      <w:pPr>
        <w:ind w:left="420"/>
      </w:pPr>
      <w:r>
        <w:t xml:space="preserve">19. Regeln für die Vermögensbewertung, insbesondere eine Beschreibung des Verfahrens zur Bewertung des Investmentvermögens und der Kalkulationsmethoden für die Bewertung von Vermögenswerten, einschließlich der Verfahren für die Bewertung schwer zu bewertender Vermögenswerte nach den §§ 168 bis 170, 212, 216 und 217; bei offenen Publikums-AIF Nennung des externen Bewerters;</w:t>
      </w:r>
    </w:p>
    <w:p>
      <w:pPr>
        <w:ind w:left="420"/>
      </w:pPr>
      <w:r>
        <w:t xml:space="preserve">20. gegebenenfalls Angabe der Börsen oder Märkte, an denen Anteile oder Aktien notiert oder gehandelt werden; Angabe, dass der Anteilswert vom Börsenpreis abweichen kann;</w:t>
      </w:r>
    </w:p>
    <w:p>
      <w:pPr>
        <w:ind w:left="420"/>
      </w:pPr>
      <w:r>
        <w:t xml:space="preserve">21. Verfahren und Bedingungen für die Ausgabe und die Rücknahme sowie gegebenenfalls den Umtausch von Anteilen oder Aktien;</w:t>
      </w:r>
    </w:p>
    <w:p>
      <w:pPr>
        <w:ind w:left="420"/>
      </w:pPr>
      <w:r>
        <w:t xml:space="preserve">22. Beschreibung des Liquiditätsmanagements des Investmentvermögens, einschließlich</w:t>
      </w:r>
    </w:p>
    <w:p>
      <w:pPr>
        <w:ind w:left="780"/>
      </w:pPr>
      <w:r>
        <w:t xml:space="preserve">a) der Rückgaberechte unter normalen und außergewöhnlichen Umständen,</w:t>
      </w:r>
    </w:p>
    <w:p>
      <w:pPr>
        <w:ind w:left="780"/>
      </w:pPr>
      <w:r>
        <w:t xml:space="preserve">b) der bestehenden Rücknahmevereinbarungen mit den Anlegern einschließlich der Möglichkeit zur Aussetzung der Ausgabe, Zeichnungen, Rückkäufe und Rücknahme und gegebenenfalls auch des Umtauschs von Anteilen oder Aktien und</w:t>
      </w:r>
    </w:p>
    <w:p>
      <w:pPr>
        <w:ind w:left="780"/>
      </w:pPr>
      <w:r>
        <w:t xml:space="preserve">c) einer Beschreibung der Möglichkeit und der Bedingungen für den Einsatz der nach § 30a Absatz 1 oder Absatz 3 ausgewählten und gegebenenfalls weiterer Liquiditätsmanagementinstrumente;</w:t>
      </w:r>
    </w:p>
    <w:p>
      <w:pPr>
        <w:ind w:left="420"/>
      </w:pPr>
      <w:r>
        <w:t xml:space="preserve">23. die getroffenen Maßnahmen, um die Zahlungen an die Anleger, die Rücknahme der Anteile oder Aktien sowie die Verbreitung der Berichte und sonstigen Informationen über das Investmentvermögen vorzunehmen; falls Anteile oder Aktien in einem anderen Mitgliedstaat der Europäischen Union oder in einem anderen Vertragsstaat des Abkommens über den Europäischen Wirtschaftsraum vertrieben werden, sind Angaben über die in diesem Staat getroffenen Maßnahmen zu machen und in den dort bekannt zu machenden Verkaufsprospekt aufzunehmen;</w:t>
      </w:r>
    </w:p>
    <w:p>
      <w:pPr>
        <w:ind w:left="420"/>
      </w:pPr>
      <w:r>
        <w:t xml:space="preserve">24. eine Beschreibung der wichtigsten rechtlichen Auswirkungen der für die Tätigung der Anlage eingegangenen Vertragsbeziehung, einschließlich Informationen über die zuständigen Gerichte, das anwendbare Recht und das Vorhandensein oder Nichtvorhandensein von Rechtsinstrumenten, die die Anerkennung und Vollstreckung von Urteilen in dem Gebiet vorsehen, in dem das Investmentvermögen seinen Sitz hat;</w:t>
      </w:r>
    </w:p>
    <w:p>
      <w:pPr>
        <w:ind w:left="420"/>
      </w:pPr>
      <w:r>
        <w:t xml:space="preserve">25. Art und Hauptmerkmale der Anteile oder Aktien, insbesondere Art der durch die Anteile oder Aktien verbrieften oder verbundenen Rechte oder Ansprüche; Angaben, ob die Anteile oder Aktien durch Globalurkunden verbrieft oder ob Anteilscheine oder Einzelurkunden ausgegeben werden; Angaben, ob die Anteile auf den Inhaber oder auf den Namen lauten und Angabe der Stückelung;</w:t>
      </w:r>
    </w:p>
    <w:p>
      <w:pPr>
        <w:ind w:left="420"/>
      </w:pPr>
      <w:r>
        <w:t xml:space="preserve">26. gegebenenfalls Angabe des Investmentvermögens und seiner einzelnen Teilinvestmentvermögen und unter welchen Voraussetzungen Anteile an verschiedenen Teilinvestmentvermögen ausgegeben werden, einschließlich einer Beschreibung der Anlageziele und der Anlagepolitik der Teilinvestmentvermögen;</w:t>
      </w:r>
    </w:p>
    <w:p>
      <w:pPr>
        <w:ind w:left="420"/>
      </w:pPr>
      <w:r>
        <w:t xml:space="preserve">27. eine Beschreibung der Art und Weise, wie die Verwaltungsgesellschaft eine faire Behandlung der Anleger gewährleistet sowie Angaben darüber, ob und unter welchen Voraussetzungen Anteile oder Aktien mit unterschiedlichen Rechten ausgegeben werden und eine Erläuterung, welche Ausgestaltungsmerkmale gemäß § 96 Absatz 1 und 2 oder § 108 Absatz 4 den Anteil- oder Aktienklassen zugeordnet werden; eine Beschreibung des Verfahrens gemäß § 96 Absatz 1 Satz 4 oder § 108 Absatz 4 für die Errechnung des Wertes der Anteile oder Aktien jeder Anteil- oder Aktienklasse, einschließlich der Angaben, wenn ein Anleger eine Vorzugsbehandlung oder einen Anspruch auf eine solche Behandlung erhält, eine Erläuterung dieser Behandlung, der Art der Anleger, die eine solche Vorzugsbehandlung erhalten, sowie gegebenenfalls der rechtlichen oder wirtschaftlichen Verbindungen zwischen diesen Anlegern und dem Investmentvermögen oder der Verwaltungsgesellschaft;</w:t>
      </w:r>
    </w:p>
    <w:p>
      <w:pPr>
        <w:ind w:left="420"/>
      </w:pPr>
      <w:r>
        <w:t xml:space="preserve">28. Firma, Rechtsform, Sitz und, wenn sich die Hauptverwaltung nicht am Sitz befindet, Ort der Hauptverwaltung der Verwaltungsgesellschaft; Zeitpunkt ihrer Gründung;</w:t>
      </w:r>
    </w:p>
    <w:p>
      <w:pPr>
        <w:ind w:left="420"/>
      </w:pPr>
      <w:r>
        <w:t xml:space="preserve">29. Namen der Mitglieder des Vorstands oder der Geschäftsführung und des Aufsichtsrats oder gegebenenfalls des Beirats, jeweils unter Angabe der außerhalb der Verwaltungsgesellschaft ausgeübten Hauptfunktionen, wenn diese für die Verwaltungsgesellschaft von Bedeutung sind;</w:t>
      </w:r>
    </w:p>
    <w:p>
      <w:pPr>
        <w:ind w:left="420"/>
      </w:pPr>
      <w:r>
        <w:t xml:space="preserve">30. Höhe des gezeichneten und eingezahlten Kapitals;</w:t>
      </w:r>
    </w:p>
    <w:p>
      <w:pPr>
        <w:ind w:left="420"/>
      </w:pPr>
      <w:r>
        <w:t xml:space="preserve">31. Angabe der weiteren Investmentvermögen, die von der Verwaltungsgesellschaft verwaltet werden;</w:t>
      </w:r>
    </w:p>
    <w:p>
      <w:pPr>
        <w:ind w:left="420"/>
      </w:pPr>
      <w:r>
        <w:t xml:space="preserve">32. Identität der Verwahrstelle und Beschreibung ihrer Pflichten sowie der Interessenkonflikte, die entstehen können;</w:t>
      </w:r>
    </w:p>
    <w:p>
      <w:pPr>
        <w:ind w:left="420"/>
      </w:pPr>
      <w:r>
        <w:t xml:space="preserve">33. Beschreibung sämtlicher von der Verwahrstelle ausgelagerter Verwahrungsaufgaben, Liste der Auslagerungen und Unterauslagerungen und Angabe sämtlicher Interessenkonflikte, die sich aus den Auslagerungen ergeben können;</w:t>
      </w:r>
    </w:p>
    <w:p>
      <w:pPr>
        <w:ind w:left="420"/>
      </w:pPr>
      <w:r>
        <w:t xml:space="preserve">34. Erklärung, dass den Anlegern auf Antrag Informationen auf dem neuesten Stand hinsichtlich der Nummern 32 und 33 übermittelt werden;</w:t>
      </w:r>
    </w:p>
    <w:p>
      <w:pPr>
        <w:ind w:left="420"/>
      </w:pPr>
      <w:r>
        <w:t xml:space="preserve">35. die Namen von Beratungsfirmen, Anlageberatern oder sonstigen Dienstleistern, wenn ihre Dienste auf Vertragsbasis in Anspruch genommen werden; Einzelheiten dieser Verträge, die für die Anleger von Interesse sind, insbesondere Erläuterung der Pflichten der Dienstleister und der Rechte der Anleger; andere Tätigkeiten der Beratungsfirma, des Anlageberaters oder des sonstigen Dienstleistungsanbieters von Bedeutung;</w:t>
      </w:r>
    </w:p>
    <w:p>
      <w:pPr>
        <w:ind w:left="420"/>
      </w:pPr>
      <w:r>
        <w:t xml:space="preserve">36. eine Beschreibung sämtlicher von der Verwaltungsgesellschaft übertragener Verwaltungsfunktionen sowie sämtlicher von der Verwahrstelle übertragener Verwahrungsfunktionen, Bezeichnung des Beauftragten sowie sämtlicher Interessenkonflikte, die sich aus der Aufgabenübertragung ergeben könnten;</w:t>
      </w:r>
    </w:p>
    <w:p>
      <w:pPr>
        <w:ind w:left="420"/>
      </w:pPr>
      <w:r>
        <w:t xml:space="preserve">37. eine Beschreibung, in welcher Weise die AIF-Verwaltungsgesellschaft den Anforderungen des § 25 Absatz 6 gerecht wird;</w:t>
      </w:r>
    </w:p>
    <w:p>
      <w:pPr>
        <w:ind w:left="420"/>
      </w:pPr>
      <w:r>
        <w:t xml:space="preserve">38. Umstände oder Beziehungen, die Interessenkonflikte begründen können;</w:t>
      </w:r>
    </w:p>
    <w:p>
      <w:pPr>
        <w:ind w:left="420"/>
      </w:pPr>
      <w:r>
        <w:t xml:space="preserve">39. bei Investmentvermögen mit mindestens einem Teilinvestmentvermögen, dessen Anteile oder Aktien im Geltungsbereich dieses Gesetzes an eine, mehrere oder alle Anlegergruppen im Sinne des § 1 Absatz 19 Nummer 31 bis 33 vertrieben werden dürfen, und mit weiteren Teilinvestmentvermögen desselben Investmentvermögens, die im Geltungsbereich dieses Gesetzes nicht oder nur an eine oder mehrere andere Anlegergruppen vertrieben werden dürfen, den drucktechnisch an hervorgehobener Stelle herausgestellten Hinweis, dass die Anteile oder Aktien der weiteren Teilinvestmentvermögen im Geltungsbereich dieses Gesetzes nicht vertrieben werden dürfen oder, sofern sie an einzelne Anlegergruppen vertrieben werden dürfen, an welche Anlegergruppe im Sinne des § 1 Absatz 19 Nummer 31 bis 33 sie nicht vertrieben werden dürfen; diese weiteren Teilinvestmentvermögen sind namentlich zu bezeichnen;</w:t>
      </w:r>
    </w:p>
    <w:p>
      <w:pPr>
        <w:ind w:left="420"/>
      </w:pPr>
      <w:r>
        <w:t xml:space="preserve">40. die in Artikel 14 der Verordnung (EU) 2015/2365 sowie für OGAW die in Artikel 29 Absatz 2 der Verordnung (EU) 2016/1011 genannten Informationen;</w:t>
      </w:r>
    </w:p>
    <w:p>
      <w:pPr>
        <w:ind w:left="420"/>
      </w:pPr>
      <w:r>
        <w:t xml:space="preserve">41. die in den Artikeln 6 bis 9 der Verordnung (EU) 2019/2088 und in den Artikeln 5 bis 7 der Verordnung (EU) 2020/852 genannten Informationen,</w:t>
      </w:r>
    </w:p>
    <w:p>
      <w:pPr>
        <w:ind w:left="420"/>
      </w:pPr>
      <w:r>
        <w:t xml:space="preserve">42. Informationen zur Funktionsweise der Abspaltung illiquider Anlagen.</w:t>
      </w:r>
    </w:p>
    <w:p>
      <w:pPr>
        <w:ind w:left="420"/>
      </w:pPr>
      <w:r>
        <w:t xml:space="preserve">42. die in den Artikeln 6 bis 9 der Verordnung (EU) 2019/2088 und in den Artikeln 5 bis 7 der Verordnung (EU) 2020/852 genannten Informationen.</w:t>
      </w:r>
    </w:p>
    <w:p>
      <w:r>
        <w:t xml:space="preserve">(3) Der Verkaufsprospekt hat in Bezug auf die Kosten einschließlich Ausgabeaufschlag und Rücknahmeabschlag folgende Angaben zu enthalten:</w:t>
      </w:r>
    </w:p>
    <w:p>
      <w:pPr>
        <w:ind w:left="420"/>
      </w:pPr>
      <w:r>
        <w:t xml:space="preserve">1. Berechnung der Ausgabe- und Rücknahmepreise der Anteile oder Aktien unter Berücksichtigung der Methode und Häufigkeit der Berechnung dieser Preise und der mit der Ausgabe und der Rücknahme der Anteile oder Aktien verbundenen Kosten;</w:t>
      </w:r>
    </w:p>
    <w:p>
      <w:pPr>
        <w:ind w:left="420"/>
      </w:pPr>
      <w:r>
        <w:t xml:space="preserve">2. Angaben über Art, Ort und Häufigkeit der Veröffentlichung der Ausgabe- und Rücknahmepreise der Anteile oder Aktien;</w:t>
      </w:r>
    </w:p>
    <w:p>
      <w:pPr>
        <w:ind w:left="420"/>
      </w:pPr>
      <w:r>
        <w:t xml:space="preserve">3. etwaige sonstige Kosten oder Gebühren, aufgeschlüsselt nach denjenigen, die vom Anleger zu zahlen sind und denjenigen, die aus dem Investmentvermögen zu zahlen sind;</w:t>
      </w:r>
    </w:p>
    <w:p>
      <w:pPr>
        <w:ind w:left="420"/>
      </w:pPr>
      <w:r>
        <w:t xml:space="preserve">4. Verwendung des Aufschlags bei der Ausgabe der Anteile oder Aktien oder des Abschlags bei der Rücknahme der Anteile oder Aktien;</w:t>
      </w:r>
    </w:p>
    <w:p>
      <w:pPr>
        <w:ind w:left="420"/>
      </w:pPr>
      <w:r>
        <w:t xml:space="preserve">5. Angabe, dass eine Gesamtkostenquote in Form einer einzigen Zahl, die auf den Zahlen des vorangegangenen Geschäftsjahres basiert, zu berechnen ist und welche Kosten einbezogen werden;</w:t>
      </w:r>
    </w:p>
    <w:p>
      <w:pPr>
        <w:ind w:left="420"/>
      </w:pPr>
      <w:r>
        <w:t xml:space="preserve">6. Erläuterung, dass Transaktionskosten aus dem Investmentvermögen gezahlt werden und dass die Gesamtkostenquote keine Transaktionskosten enthält;</w:t>
      </w:r>
    </w:p>
    <w:p>
      <w:pPr>
        <w:ind w:left="420"/>
      </w:pPr>
      <w:r>
        <w:t xml:space="preserve">7. Angabe, aus welchen Vergütungen und Kosten sich die Pauschalgebühr zusammensetzt und Hinweis, ob und welche Kosten dem Investmentvermögen gesondert in Rechnung gestellt werden, falls in den Anlagebedingungen für die Vergütungen und Kosten eine Pauschalgebühr vereinbart wurde; die Nummern 5 und 6 bleiben unberührt;</w:t>
      </w:r>
    </w:p>
    <w:p>
      <w:pPr>
        <w:ind w:left="420"/>
      </w:pPr>
      <w:r>
        <w:t xml:space="preserve">8. Beschreibung, ob der Verwaltungsgesellschaft Rückvergütungen der aus dem Investmentvermögen an die Verwahrstelle und an Dritte geleisteten Vergütungen und Aufwendungserstattungen zufließen und ob je nach Vertriebsweg ein wesentlicher Teil der Vergütungen, die aus dem Investmentvermögen an die Verwaltungsgesellschaft geleistet werden, für Vergütungen an Vermittler von Anteilen oder Aktien des Investmentvermögens auf den Bestand von vermittelten Anteilen oder Aktien verwendet wird;</w:t>
      </w:r>
    </w:p>
    <w:p>
      <w:pPr>
        <w:ind w:left="420"/>
      </w:pPr>
      <w:r>
        <w:t xml:space="preserve">9. Angabe gemäß § 162 Absatz 2 Nummer 14; Art der möglichen Gebühren, Kosten, Steuern, Provisionen und sonstigen Aufwendungen unter Angabe der jeweiligen Höchstbeträge, die mittelbar oder unmittelbar von den Anlegern des Investmentvermögens zu tragen sind; Hinweis, dass dem Investmentvermögen neben der Vergütung zur Verwaltung des Investmentvermögens eine Verwaltungsvergütung für die im Investmentvermögen gehaltenen Anteile oder Aktien berechnet wird;</w:t>
      </w:r>
    </w:p>
    <w:p>
      <w:pPr>
        <w:ind w:left="420"/>
      </w:pPr>
      <w:r>
        <w:t xml:space="preserve">10. hinsichtlich der Vergütungspolitik der Verwaltungsgesellschaft:</w:t>
      </w:r>
    </w:p>
    <w:p>
      <w:pPr>
        <w:ind w:left="780"/>
      </w:pPr>
      <w:r>
        <w:t xml:space="preserve">a) die Einzelheiten der aktuellen Vergütungspolitik, darunter eine Beschreibung darüber, wie die Vergütung und die sonstigen Zuwendungen berechnet werden, und die Identität der für die Zuteilung der Vergütung und sonstigen Zuwendungen zuständigen Personen, einschließlich der Zusammensetzung des Vergütungsausschusses, falls es einen solchen Ausschuss gibt, oder</w:t>
      </w:r>
    </w:p>
    <w:p>
      <w:pPr>
        <w:ind w:left="780"/>
      </w:pPr>
      <w:r>
        <w:t xml:space="preserve">b) eine Zusammenfassung der Vergütungspolitik und eine Erklärung darüber, dass die Einzelheiten der aktuellen Vergütungspolitik auf einer Internetseite veröffentlicht sind, wie die Internetseite lautet und dass auf Anfrage kostenlos eine Papierversion der Internetseite zur Verfügung gestellt wird; die Erklärung umfasst auch, dass zu den auf der Internetseite einsehbaren Einzelheiten der aktuellen Vergütungspolitik eine Beschreibung der Berechnung der Vergütung und der sonstigen Zuwendungen sowie die Identität der für die Zuteilung der Vergütung und sonstigen Zuwendungen zuständigen Personen, einschließlich der Zusammensetzung des Vergütungsausschusses, falls es einen solchen Ausschuss gibt, gehört.</w:t>
      </w:r>
    </w:p>
    <w:p>
      <w:r>
        <w:t xml:space="preserve">(4) Sofern die Verwaltungsgesellschaft für Rechnung des Investmentvermögens Geschäfte mit Derivaten tätigen darf, muss der Verkaufsprospekt an hervorgehobener Stelle erläutern, ob diese Geschäfte zu Absicherungszwecken oder als Teil der Anlagestrategie getätigt werden dürfen und wie sich die Verwendung von Derivaten möglicherweise auf das Risikoprofil des Investmentvermögens auswirkt.</w:t>
      </w:r>
    </w:p>
    <w:p>
      <w:r>
        <w:t xml:space="preserve">(5) Weist ein Investmentvermögen durch seine Zusammensetzung oder durch die für die Fondsverwaltung verwendeten Techniken eine erhöhte Volatilität auf, muss im Verkaufsprospekt an hervorgehobener Stelle darauf hingewiesen werden.</w:t>
      </w:r>
    </w:p>
    <w:p>
      <w:r>
        <w:t xml:space="preserve">(6) Im Verkaufsprospekt eines Investmentvermögens, das einen anerkannten Wertpapierindex nachbildet, muss an hervorgehobener Stelle darauf hingewiesen werden, dass der Grundsatz der Risikomischung für dieses Investmentvermögen nur eingeschränkt gilt. Zudem muss der Verkaufsprospekt die Angabe enthalten, welche Wertpapiere Bestandteile des Wertpapierindexes sind und wie hoch der Anteil der jeweiligen Wertpapiere am Wertpapierindex ist. Die Angaben über die Zusammensetzung des Wertpapierindexes können unterbleiben, wenn sie für den Schluss oder für die Mitte des jeweiligen Geschäftsjahres im letzten bekannt gemachten Jahres- oder Halbjahresbericht enthalten sind.</w:t>
      </w:r>
    </w:p>
    <w:p>
      <w:r>
        <w:t xml:space="preserve">(7) Der Verkaufsprospekt von AIF hat zusätzlich mindestens folgende weitere Angaben zu enthalten:</w:t>
      </w:r>
    </w:p>
    <w:p>
      <w:pPr>
        <w:ind w:left="420"/>
      </w:pPr>
      <w:r>
        <w:t xml:space="preserve">1. Identität des Primebrokers, Beschreibung jeder wesentlichen Vereinbarung zwischen dem Investmentvermögen und seinen Primebrokern, Art und Weise der Beilegung diesbezüglicher Interessenkonflikte;</w:t>
      </w:r>
    </w:p>
    <w:p>
      <w:pPr>
        <w:ind w:left="420"/>
      </w:pPr>
      <w:r>
        <w:t xml:space="preserve">2. Angaben über jede eventuell bestehende Haftungsübertragung auf den Primebroker;</w:t>
      </w:r>
    </w:p>
    <w:p>
      <w:pPr>
        <w:ind w:left="420"/>
      </w:pPr>
      <w:r>
        <w:t xml:space="preserve">3. eine Liste der Gebühren, Entgelte und sonstigen Kosten, die von der Kapitalverwaltungsgesellschaft im Zusammenhang mit der Verwaltung des AIF getragen werden und die direkt und indirekt dem AIF zugeordnet werden.</w:t>
      </w:r>
    </w:p>
    <w:p>
      <w:r>
        <w:t xml:space="preserve">(8) Die Bundesanstalt kann verlangen, dass in den Verkaufsprospekt weitere Angaben aufgenommen werden, wenn sie Grund zu der Annahme hat, dass die Angaben für die Erwerber erforderlich sind.</w:t>
      </w:r>
    </w:p>
    <w:p>
      <w:r>
        <w:t xml:space="preserve">(9) Etwaige Prognosen im Verkaufsprospekt sind deutlich als solche zu kennzeichnen.</w:t>
      </w:r>
    </w:p>
    <w:p>
      <w:r>
        <w:rPr>
          <w:color w:val="555555"/>
          <w:sz w:val="17"/>
        </w:rPr>
        <w:t xml:space="preserve">Zitiervorschlag: § 165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