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KAGB — Erstellung von Verkaufsprospekt, Basisinformationsblatt und wesentlichen Anlegerinformationen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Kapitalverwaltungsgesellschaft oder die EU-OGAW-Verwaltungsgesellschaft hat für ein von ihr verwaltetes offenes Publikumsinvestmentvermögen den Verkaufsprospekt und, falls das offene Publikumsinvestmentvermögen nicht ausschließlich an professionelle Anleger vertrieben wird, das Basisinformationsblatt gemäß Verordnung (EU) Nr. 1286/2014 zu erstellen und dem Publikum die jeweils aktuellen Fassungen auf der Internetseite der Kapitalverwaltungsgesellschaft oder der EU-OGAW-Verwaltungsgesellschaft zugänglich zu machen. Bei offenen AIF-Publikumsinvestmentvermögen dürfen Verkaufsprospekt und Basisinformationsblatt gemäß Verordnung (EU) Nr. 1286/2014 dem Publikum erst zugänglich gemacht werden, sobald die Verwaltungsgesellschaft mit dem Vertrieb des Investmentvermögens gemäß § 316 beginnen darf.</w:t>
      </w:r>
    </w:p>
    <w:p>
      <w:r>
        <w:t xml:space="preserve">(1a) Falls die Kapitalverwaltungsgesellschaft oder die EU-OGAW-Verwaltungsgesellschaft für einen inländischen OGAW ein Basisinformationsblatt gemäß Verordnung (EU) Nr. 1286/2014 abfasst, bereitstellt, überarbeitet und übersetzt, muss sie nicht zusätzlich die wesentlichen Anlegerinformationen erstellen.</w:t>
      </w:r>
    </w:p>
    <w:p>
      <w:r>
        <w:t xml:space="preserve">(2) Für die einzelnen Teilinvestmentvermögen eines Umbrella-Investmentvermögens kann ein gemeinsamer Verkaufsprospekt erstellt werden, in dem die folgenden Angaben in klarer und übersichtlicher Art und Weise darzustellen sind:</w:t>
      </w:r>
    </w:p>
    <w:p>
      <w:pPr>
        <w:ind w:left="420"/>
      </w:pPr>
      <w:r>
        <w:t xml:space="preserve">1. für alle Teilinvestmentvermögen gemeinsam die in § 165 genannten Angaben, die bei allen Teilinvestmentvermögen identisch sind und</w:t>
      </w:r>
    </w:p>
    <w:p>
      <w:pPr>
        <w:ind w:left="420"/>
      </w:pPr>
      <w:r>
        <w:t xml:space="preserve">2. für jedes Teilinvestmentvermögen gesondert alle Angaben, bei denen sich für einzelne Teilinvestmentvermögen Unterschiede auf Grund einer besonderen Anlagepolitik oder anderer Ausstattungsmerkmale ergeben.</w:t>
      </w:r>
    </w:p>
    <w:p>
      <w:r>
        <w:t xml:space="preserve">(3) Die Angaben in den wesentlichen Anlegerinformationen sowie die Angaben von wesentlicher Bedeutung im Verkaufsprospekt sind auf dem neusten Stand zu halten.</w:t>
      </w:r>
    </w:p>
    <w:p>
      <w:r>
        <w:t xml:space="preserve">(4) Die OGAW-Kapitalverwaltungsgesellschaft oder die EU-OGAW-Verwaltungsgesellschaft hat der Bundesanstalt für die von ihr verwalteten inländischen OGAW den Verkaufsprospekt und entweder das Basisinformationsblatt gemäß Verordnung (EU) Nr. 1286/2014 oder die wesentlichen Anlegerinformationen unverzüglich nach erstmaliger Verwendung einzureichen. Auf Anfrage hat die OGAW-Kapitalverwaltungsgesellschaft der Bundesanstalt auch den Verkaufsprospekt für die von ihr nach den §§ 49 und 50 verwalteten EU-OGAW zur Verfügung zu stellen.</w:t>
      </w:r>
    </w:p>
    <w:p>
      <w:r>
        <w:t xml:space="preserve">(5) Die OGAW-Kapitalverwaltungsgesellschaft oder die EU-OGAW-Verwaltungsgesellschaft hat der Bundesanstalt für die von ihr verwalteten inländischen OGAW alle Änderungen des Verkaufsprospekts und entweder des Basisinformationsblattes gemäß Verordnung (EU) Nr. 1286/2014 oder der wesentlichen Anlegerinformationen unverzüglich nach erstmaliger Verwendung einzureichen.</w:t>
      </w:r>
    </w:p>
    <w:p>
      <w:r>
        <w:rPr>
          <w:color w:val="555555"/>
          <w:sz w:val="17"/>
        </w:rPr>
        <w:t xml:space="preserve">Zitiervorschlag: § 164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