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161 KAGB — Auflösung und Liquidation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Das Recht zur ordentlichen Kündigung besteht bei der geschlossenen Investmentkommanditgesellschaft nicht.</w:t>
      </w:r>
    </w:p>
    <w:p>
      <w:r>
        <w:t xml:space="preserve">(2) Ein Gesellschafter der geschlossenen Investmentkommanditgesellschaft kann die Gesellschaft vor dem Ablauf der für ihre Dauer bestimmten Zeit außerordentlich kündigen und aus ihr ausscheiden, wenn ein wichtiger Grund vorliegt. § 132 Absatz 2 Satz 2 und Absatz 6 des Handelsgesetzbuchs ist entsprechend anzuwenden.</w:t>
      </w:r>
    </w:p>
    <w:p>
      <w:r>
        <w:t xml:space="preserve">(3) Wird eine geschlossene Publikumsinvestmentkommanditgesellschaft abgewickelt, hat der Liquidator jährlich sowie auf den Tag, an dem die Abwicklung beendet ist, einen Abwicklungsbericht zu erstellen, der den Anforderungen nach § 158 entspricht. Auf die Prüfung des Abwicklungsberichts ist § 159 entsprechend anzuwenden. Die §§ 159a, 160 gelten entsprechend. Die Pflicht zur Erstellung einer Bilanz auf die Beendigung der Liquidation gemäß § 148 Absatz 4 Satz 1 des Handelsgesetzbuchs bleibt hiervon unberührt.</w:t>
      </w:r>
    </w:p>
    <w:p>
      <w:r>
        <w:t xml:space="preserve">(4) Die Kommanditisten haften nach Beendigung der Liquidation nicht für die Verbindlichkeiten der geschlossenen Investmentkommanditgesellschaft.</w:t>
      </w:r>
    </w:p>
    <w:p>
      <w:r>
        <w:rPr>
          <w:color w:val="555555"/>
          <w:sz w:val="17"/>
        </w:rPr>
        <w:t xml:space="preserve">Zitiervorschlag: § 161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