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KAGB — Offenlegung und Vorlage von Berichten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Offenlegung des Jahresberichts einer geschlossenen Publikumsinvestmentkommanditgesellschaft erfolgt, auch wenn auf diese § 264a des Handelsgesetzbuchs nicht anzuwenden ist, spätestens neun Monate nach Ende des Geschäftsjahres nach Maßgabe des insoweit entsprechend anzuwendenden § 325 Absatz 1 Satz 2, Absatz 1b, 2a, 2b, 5 und 6 des Handelsgesetzbuchs; die §§ 328, 329 Absatz 1 und 4 und die §§ 335 bis 335b des Handelsgesetzbuchs sind entsprechend anzuwenden.</w:t>
      </w:r>
    </w:p>
    <w:p>
      <w:r>
        <w:t xml:space="preserve">(2) Der Bericht einer geschlossenen Publikumsinvestmentkommanditgesellschaft nach Absatz 1 muss dem Publikum an den Stellen zugänglich sein, die im Verkaufsprospekt angegeben sind.</w:t>
      </w:r>
    </w:p>
    <w:p>
      <w:r>
        <w:t xml:space="preserve">(3) Einem Anleger der geschlossenen Investmentkommanditgesellschaft wird der Jahresbericht auf Anfrage vorgelegt.</w:t>
      </w:r>
    </w:p>
    <w:p>
      <w:r>
        <w:rPr>
          <w:color w:val="555555"/>
          <w:sz w:val="17"/>
        </w:rPr>
        <w:t xml:space="preserve">Zitiervorschlag: § 160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