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158 KAGB — Jahresbericht</w:t>
      </w:r>
    </w:p>
    <w:p>
      <w:r>
        <w:rPr>
          <w:color w:val="555555"/>
          <w:sz w:val="18"/>
        </w:rPr>
        <w:t xml:space="preserve">Kapitalanlagegesetzbuch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den Jahresbericht einer geschlossenen Investmentkommanditgesellschaft ist § 135 anzuwenden. Zusätzlich zu Satz 1 sind bei geschlossenen Publikumsinvestmentkommanditgesellschaften die in § 101 Absatz 2 genannten Angaben und bei einer Beteiligung nach § 261 Absatz 1 Nummer 2 bis 6 die in § 148 Absatz 2 genannten Angaben im Anhang zu machen.</w:t>
      </w:r>
    </w:p>
    <w:p>
      <w:r>
        <w:rPr>
          <w:color w:val="555555"/>
          <w:sz w:val="17"/>
        </w:rPr>
        <w:t xml:space="preserve">Zitiervorschlag: § 158 KAGB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https://recht.nulegal.eu/gesetze/KAGB/158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