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156 KAGB — Gesellschaftsvermögen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Eine intern verwaltete geschlossene Investmentkommanditgesellschaft darf bewegliches und unbewegliches Vermögen erwerben, das für den Betrieb der Investmentkommanditgesellschaft notwendig ist. Hierfür hat sie ein Betriebsvermögen zu bilden, das rechnerisch bei den Kapitalanteilen der geschäftsführenden Gesellschafter zu erfassen ist. Den Erwerb darf sie nicht mit Kapital aus der Begebung von Kommanditanteilen an Anleger bestreiten.</w:t>
      </w:r>
    </w:p>
    <w:p>
      <w:r>
        <w:t xml:space="preserve">(2) Die Einlagen der Anleger, die im Zusammenhang mit der Anlagetätigkeit erhaltenen und verwalteten Vermögensgegenstände, für die Vermögensgegenstände erhaltene Sicherheiten sowie liquide Mittel werden rechnerisch dem Kommanditkapital zugeordnet. Sie bilden das Kommanditanlagevermögen.</w:t>
      </w:r>
    </w:p>
    <w:p>
      <w:r>
        <w:rPr>
          <w:color w:val="555555"/>
          <w:sz w:val="17"/>
        </w:rPr>
        <w:t xml:space="preserve">Zitiervorschlag: § 156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