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154 KAGB — Verwaltung und Anlage</w:t>
      </w:r>
    </w:p>
    <w:p>
      <w:r>
        <w:rPr>
          <w:color w:val="555555"/>
          <w:sz w:val="18"/>
        </w:rPr>
        <w:t xml:space="preserve">Kapitalanlagegesetzbuch</w:t>
      </w:r>
    </w:p>
    <w:p>
      <w:r>
        <w:rPr>
          <w:color w:val="555555"/>
          <w:sz w:val="18"/>
        </w:rPr>
        <w:t xml:space="preserve">Stand: 18.04.2026 (konsolidierte Textfassung, kein amtliches Inkrafttretensdatum)</w:t>
      </w:r>
    </w:p>
    <w:p>
      <w:r>
        <w:t xml:space="preserve">(1) Die geschlossene Investmentkommanditgesellschaft kann eine ihrem Unternehmensgegenstand entsprechende externe AIF-Kapitalverwaltungsgesellschaft bestellen. Dieser obliegt insbesondere die Anlage und Verwaltung des Kommanditanlagevermögens. Die Bestellung der externen AIF-Kapitalverwaltungsgesellschaft ist kein Fall des § 36. Die AIF-Kapitalverwaltungsgesellschaft ist berechtigt, die Verwaltung der Mittel der geschlossenen Investmentkommanditgesellschaft zu kündigen. § 99 Absatz 1 bis 4 ist mit den folgenden Maßgaben entsprechend anzuwenden:</w:t>
      </w:r>
    </w:p>
    <w:p>
      <w:pPr>
        <w:ind w:left="420"/>
      </w:pPr>
      <w:r>
        <w:t xml:space="preserve">1. eine Kündigung kann nur aus wichtigem Grund erfolgen;</w:t>
      </w:r>
    </w:p>
    <w:p>
      <w:pPr>
        <w:ind w:left="420"/>
      </w:pPr>
      <w:r>
        <w:t xml:space="preserve">2. die Kündigungsfrist muss im angemessenen Verhältnis zu dem Zeitraum stehen, der erforderlich ist, um die zum Investmentvermögen gehörenden Vermögensgegenstände zu liquidieren; bei Publikumsinvestmentkommanditgesellschaften muss die Kündigungsfrist jedoch mindestens sechs Monate betragen.</w:t>
      </w:r>
    </w:p>
    <w:p>
      <w:r>
        <w:t xml:space="preserve">(2) § 100 ist entsprechend anzuwenden mit den Maßgaben, dass</w:t>
      </w:r>
    </w:p>
    <w:p>
      <w:pPr>
        <w:ind w:left="420"/>
      </w:pPr>
      <w:r>
        <w:t xml:space="preserve">1. das Verwaltungs- und Verfügungsrecht über das Gesellschaftsvermögen nur dann auf die Verwahrstelle zur Abwicklung übergeht, wenn die geschlossene Investmentkommanditgesellschaft sich nicht in eine intern verwaltete geschlossene Investmentkommanditgesellschaft umwandelt oder keine andere externe AIF-Kapitalverwaltungsgesellschaft benennt und dies bei geschlossenen Publikumsinvestmentkommanditgesellschaften jeweils von der Bundesanstalt genehmigt wird und bei geschlossenen Spezialinvestmentkommanditgesellschaften jeweils der Bundesanstalt angezeigt wird;</w:t>
      </w:r>
    </w:p>
    <w:p>
      <w:pPr>
        <w:ind w:left="420"/>
      </w:pPr>
      <w:r>
        <w:t xml:space="preserve">2. die Gesellschafter anstelle der Verwahrstelle die Bestellung der Kapitalverwaltungsgesellschaft als Liquidator beschließen können.</w:t>
      </w:r>
    </w:p>
    <w:p>
      <w:r>
        <w:t xml:space="preserve">Im Fall der Bestellung einer anderen externen AIF-Kapitalverwaltungsgesellschaft ist § 100b Absatz 1, 3 und 4 entsprechend anzuwenden mit der Maßgabe, dass die Übertragung bei Publikumsinvestmentkommanditgesellschaften frühestens mit Erteilung der Genehmigung der Bundesanstalt wirksam wird.</w:t>
      </w:r>
    </w:p>
    <w:p>
      <w:r>
        <w:t xml:space="preserve">(3) Wird eine geschlossene Publikumsinvestmentkommanditgesellschaft aufgelöst, hat sie auf den Tag, an dem das Recht der AIF-Kapitalverwaltungsgesellschaft zur Verwaltung des Gesellschaftsvermögens erlischt, einen Auflösungsbericht zu erstellen, der den Anforderungen nach § 158 entspricht. Auf die Prüfung des Auflösungsberichts ist § 159 entsprechend anzuwenden. Die §§ 159a und 160 gelten entsprechend. Die Pflicht zur Erstellung einer Bilanz auf den Beginn der Liquidation nach § 148 Absatz 4 Satz 1 des Handelsgesetzbuchs bleibt hiervon unberührt.</w:t>
      </w:r>
    </w:p>
    <w:p>
      <w:r>
        <w:rPr>
          <w:color w:val="555555"/>
          <w:sz w:val="17"/>
        </w:rPr>
        <w:t xml:space="preserve">Zitiervorschlag: § 154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