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153 KAGB — Geschäftsführung, Beirat</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Geschäftsführung der geschlossenen Investmentkommanditgesellschaft besteht aus mindestens zwei Personen. Die Voraussetzung nach Satz 1 ist auch dann erfüllt, wenn Geschäftsführer der geschlossenen Investmentkommanditgesellschaft eine juristische Person ist, deren Geschäftsführung ihrerseits von zwei Personen wahrgenommen wird. Die Geschäftsführung ist verpflichtet,</w:t>
      </w:r>
    </w:p>
    <w:p>
      <w:pPr>
        <w:ind w:left="420"/>
      </w:pPr>
      <w:r>
        <w:t xml:space="preserve">1. bei der Ausübung ihrer Tätigkeit im ausschließlichen Interesse der Gesellschafter und der Integrität des Marktes zu handeln,</w:t>
      </w:r>
    </w:p>
    <w:p>
      <w:pPr>
        <w:ind w:left="420"/>
      </w:pPr>
      <w:r>
        <w:t xml:space="preserve">2. ihre Tätigkeit mit der gebotenen Sachkenntnis, Sorgfalt und Gewissenhaftigkeit im besten Interesse des von ihr verwalteten Vermögens und der Integrität des Marktes auszuüben und</w:t>
      </w:r>
    </w:p>
    <w:p>
      <w:pPr>
        <w:ind w:left="420"/>
      </w:pPr>
      <w:r>
        <w:t xml:space="preserve">3. sich um die Vermeidung von Interessenkonflikten zu bemühen und, wenn diese sich nicht vermeiden lassen, dafür zu sorgen, dass unvermeidbare Konflikte unter der gebotenen Wahrung der Interessen der Gesellschafter gelöst werden.</w:t>
      </w:r>
    </w:p>
    <w:p>
      <w:r>
        <w:t xml:space="preserve">Die Geschäftsführung hat bei der Wahrnehmung ihrer Aufgaben unabhängig von der Verwahrstelle zu handeln.</w:t>
      </w:r>
    </w:p>
    <w:p>
      <w:r>
        <w:t xml:space="preserve">(2) Die Mitglieder der Geschäftsführung müssen zuverlässig sein und die zur Leitung der geschlossenen Investmentkommanditgesellschaft erforderliche fachliche Eignung haben, auch in Bezug auf die Art des Unternehmensgegenstandes der geschlossenen Investmentkommanditgesellschaft. Die Bestellung und das Ausscheiden von Mitgliedern der Geschäftsführung sind der Bundesanstalt unverzüglich anzuzeigen.</w:t>
      </w:r>
    </w:p>
    <w:p>
      <w:r>
        <w:t xml:space="preserve">(3) Die intern verwaltete geschlossene Publikumsinvestmentkommanditgesellschaft hat einen Beirat zu bilden, der die Geschäftsführung bei der Umsetzung der Anlagebedingungen überwacht. § 18 Absatz 2 Satz 4 und Absatz 3 Satz 2 und 4 gilt entsprechend. Die Persönlichkeit und die Sachkunde der Mitglieder des Beirats müssen Gewähr dafür bieten, dass die Interessen der Anleger gewahrt werden. Die Bestellung und das Ausscheiden von Mitgliedern des Beirats ist der Bundesanstalt unverzüglich anzuzeigen.</w:t>
      </w:r>
    </w:p>
    <w:p>
      <w:r>
        <w:t xml:space="preserve">(4) Mitglieder der Geschäftsführung oder des Beirats der geschlossenen Investmentkommanditgesellschaft dürfen Vermögensgegenstände weder an die Investmentkommanditgesellschaft veräußern noch von dieser erwerben. Erwerb und Veräußerung von Kommanditanteilen durch die Mitglieder der Geschäftsführung sind davon nicht erfasst.</w:t>
      </w:r>
    </w:p>
    <w:p>
      <w:r>
        <w:t xml:space="preserve">(5) Die Bundesanstalt kann die Abberufung der Geschäftsführung oder von Mitgliedern der Geschäftsführung verlangen und ihnen die Ausübung ihrer Tätigkeit untersagen, wenn</w:t>
      </w:r>
    </w:p>
    <w:p>
      <w:pPr>
        <w:ind w:left="420"/>
      </w:pPr>
      <w:r>
        <w:t xml:space="preserve">1. Tatsachen vorliegen, aus denen sich ergibt, dass die Geschäftsführung oder Mitglieder der Geschäftsführung nicht zuverlässig sind oder die zur Leitung erforderliche fachliche Eignung gemäß Absatz 3 nicht haben oder</w:t>
      </w:r>
    </w:p>
    <w:p>
      <w:pPr>
        <w:ind w:left="420"/>
      </w:pPr>
      <w:r>
        <w:t xml:space="preserve">2. die Geschäftsführung oder Mitglieder der Geschäftsführung nachhaltig gegen die Bestimmungen dieses Gesetzes oder des Geldwäschegesetzes verstoßen.</w:t>
      </w:r>
    </w:p>
    <w:p>
      <w:r>
        <w:rPr>
          <w:color w:val="555555"/>
          <w:sz w:val="17"/>
        </w:rPr>
        <w:t xml:space="preserve">Zitiervorschlag: § 153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153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