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149 KAGB — Rechtsform, anwendbare Vorschriften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Geschlossene Investmentkommanditgesellschaften dürfen nur in der Rechtsform der Kommanditgesellschaft betrieben werden. Die Bestimmungen des Handelsgesetzbuchs sind anzuwenden, soweit sich aus den Vorschriften dieses Unterabschnitts nichts anderes ergibt.</w:t>
      </w:r>
    </w:p>
    <w:p>
      <w:r>
        <w:t xml:space="preserve">(2) Auf geschlossene Investmentkommanditgesellschaften sind § 93 Absatz 7, § 96 Absatz 1, § 132 Absatz 1 und 3 bis 8 sowie § 134 Absatz 2 entsprechend anzuwenden. Für jedes Teilgesellschaftsvermögen sind Anlagebedingungen zu erstellen. Bei Publikumsteilgesellschaftsvermögen müssen diese Anlagebedingungen mindestens die Angaben nach § 266 Absatz 2 enthalten. Die Anlagebedingungen sowie deren Änderungen sind gemäß § 267 von der Bundesanstalt zu genehmigen. Bei Spezialteilgesellschaftsvermögen sind die Anlagebedingungen sowie wesentliche Änderungen der Anlagebedingungen gemäß § 273 der Bundesanstalt vorzulegen. § 132 Absatz 7 Satz 4 ist mit der Maßgabe anzuwenden, dass für die Abwicklung des Teilgesellschaftsvermögens auch § 154 Absatz 2 Satz 1 Nummer 2 gilt.</w:t>
      </w:r>
    </w:p>
    <w:p>
      <w:r>
        <w:rPr>
          <w:color w:val="555555"/>
          <w:sz w:val="17"/>
        </w:rPr>
        <w:t xml:space="preserve">Zitiervorschlag: § 149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