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142 KAGB — Satzung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Satzungsmäßig festgelegter Unternehmensgegenstand der Investmentaktiengesellschaft mit fixem Kapital muss ausschließlich die Anlage und Verwaltung ihrer Mittel nach einer festgelegten Anlagestrategie zur gemeinschaftlichen Kapitalanlage</w:t>
      </w:r>
    </w:p>
    <w:p>
      <w:pPr>
        <w:ind w:left="420"/>
      </w:pPr>
      <w:r>
        <w:t xml:space="preserve">1. bei Publikumsinvestmentaktiengesellschaften mit fixem Kapital nach den §§ 261 bis 272 und</w:t>
      </w:r>
    </w:p>
    <w:p>
      <w:pPr>
        <w:ind w:left="420"/>
      </w:pPr>
      <w:r>
        <w:t xml:space="preserve">2. bei Spezialinvestmentaktiengesellschaften mit fixem Kapital nach den §§ 273 bis 277 und 285 bis 292c</w:t>
      </w:r>
    </w:p>
    <w:p>
      <w:r>
        <w:t xml:space="preserve">zum Nutzen der Aktionäre sein. Die Satzung von Spezialinvestmentaktiengesellschaften mit fixem Kapital muss zusätzlich festlegen, dass die Aktien der Gesellschaft ausschließlich von professionellen Anlegern und semiprofessionellen Anlegern erworben werden dürfen.</w:t>
      </w:r>
    </w:p>
    <w:p>
      <w:r>
        <w:rPr>
          <w:color w:val="555555"/>
          <w:sz w:val="17"/>
        </w:rPr>
        <w:t xml:space="preserve">Zitiervorschlag: § 142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