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141 KAGB — Aktien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Aktien dürfen nur gegen volle Leistung des Ausgabepreises ausgegeben werden.</w:t>
      </w:r>
    </w:p>
    <w:p>
      <w:r>
        <w:t xml:space="preserve">(2) Bei Publikumsinvestmentaktiengesellschaften mit fixem Kapital sind Sacheinlagen unzulässig.</w:t>
      </w:r>
    </w:p>
    <w:p>
      <w:r>
        <w:rPr>
          <w:color w:val="555555"/>
          <w:sz w:val="17"/>
        </w:rPr>
        <w:t xml:space="preserve">Zitiervorschlag: § 141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https://recht.nulegal.eu/gesetze/KAGB/141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