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KAGB — Auskunfts- und Vorlegungsersuchen, Prüfungen, Durchsuchungen und Sicherstelllungen</w:t>
      </w:r>
    </w:p>
    <w:p>
      <w:r>
        <w:rPr>
          <w:color w:val="555555"/>
          <w:sz w:val="18"/>
        </w:rPr>
        <w:t xml:space="preserve">Kapitalanlagegesetzbuch</w:t>
      </w:r>
    </w:p>
    <w:p>
      <w:r>
        <w:rPr>
          <w:color w:val="555555"/>
          <w:sz w:val="18"/>
        </w:rPr>
        <w:t xml:space="preserve">Stand: 01.04.2026 (konsolidierte Textfassung, kein amtliches Inkrafttretensdatum)</w:t>
      </w:r>
    </w:p>
    <w:p>
      <w:r>
        <w:t xml:space="preserve">(1) Kapitalverwaltungsgesellschaften, extern verwaltete Investmentgesellschaften, Gesellschaften in den sonstigen nach diesem Gesetz zulässigen Rechtsformen für Investmentvermögen, die an ihnen jeweils bedeutend beteiligten Inhaber und Verwahrstellen sowie Auslagerungsunternehmen haben der Bundesanstalt Auskünfte entsprechend § 44 Absatz 1 und 9 und § 44b des Kreditwesengesetzes zu erteilen und Unterlagen vorzulegen.</w:t>
      </w:r>
    </w:p>
    <w:p>
      <w:r>
        <w:t xml:space="preserve">(2) Die Pflichten nach Absatz 1 bestehen auch für Mitglieder der Organe und für Beschäftigte einer solchen Gesellschaft oder eines solchen Unternehmens sowie für ihre ehemaligen Mitglieder der Organe und ehemaligen Beschäftigten. Die Bundesanstalt kann für Zwecke dieses Gesetzes in den Räumen der nach Absatz 1 auskunfts- und vorlegungspflichtigen Personen und Unternehmen Prüfungen vornehmen. Die Bediensteten der Bundesanstalt dürfen hierzu diese Räume innerhalb der üblichen Betriebs- und Geschäftszeiten betreten und besichtigen. Zur Verhütung dringender Gefahren für die öffentliche Sicherheit sind sie befugt, diese Räume auch außerhalb der üblichen Betriebs- und Geschäftszeiten sowie Räume, die auch als Wohnung dienen, zu betreten und zu besichtigen; das Grundrecht auf Unverletzlichkeit der Wohnung (Artikel 13 Absatz 1 des Grundgesetzes) wird insoweit eingeschränkt. Die Betroffenen haben Maßnahmen nach den Sätzen 2 bis 4 zu dulden.</w:t>
      </w:r>
    </w:p>
    <w:p>
      <w:r>
        <w:t xml:space="preserve">(3) Die Bediensteten der Bundesanstalt dürfen die Räume der nach Absatz 1 auskunfts- und vorlegungspflichtigen Unternehmen sowie von deren Organmitgliedern auch nach ihrem Ausscheiden durchsuchen, wenn Tatsachen die Annahme rechtfertigen, dass das Unternehmen oder das Organmitglied entgegen einer Bestimmung dieses Gesetzes oder einer vollziehbaren Einzelfallregelung auf Grundlage dieses Gesetzes die Aufklärung eines für die Aufsicht nach Maßgabe dieses Gesetzes entscheidungsrelevanten Sachverhalts beeinträchtigt, gefährdet oder verzögert, dadurch dass es</w:t>
      </w:r>
    </w:p>
    <w:p>
      <w:pPr>
        <w:ind w:left="420"/>
      </w:pPr>
      <w:r>
        <w:t xml:space="preserve">1. Angaben nicht, nicht richtig, nicht vollständig oder nicht rechtzeitig macht oder</w:t>
      </w:r>
    </w:p>
    <w:p>
      <w:pPr>
        <w:ind w:left="420"/>
      </w:pPr>
      <w:r>
        <w:t xml:space="preserve">2. Unterlagen nicht, nicht richtig, nicht vollständig oder nicht rechtzeitig vorlegt.</w:t>
      </w:r>
    </w:p>
    <w:p>
      <w:r>
        <w:t xml:space="preserve">Die Durchsuchungen sind, außer bei Gefahr im Verzug, durch den Richter anzuordnen. Bei Gefahr im Verzug kann die Einsatzleitung der Bundesanstalt die Anordnung treffen, soweit nicht lediglich mit einer nur unerheblichen Verzögerung zu rechnen ist. Durchsuchungen von Räumen, die als Wohnung dienen, sind immer durch den Richter anzuordnen. Das Grundrecht auf Unverletzlichkeit der Wohnung (Artikel 13 Absatz 1 des Grundgesetzes) wird insoweit eingeschränkt. Zuständig ist das Amtsgericht, in dessen Bezirk sich die Räume befinden. Gegen die richterliche Entscheidung ist die Beschwerde zulässig; die §§ 306 bis 310 und 311a der Strafprozessordnung gelten entsprechend. Über die Durchsuchung ist eine Niederschrift zu fertigen. Sie muss die verantwortliche Dienststelle, Grund, Zeit und Ort der Durchsuchung und ihr Ergebnis und, falls keine richterliche Anordnung ergangen ist, auch die Tatsachen, welche die Annahme einer Gefahr im Verzug begründet haben, enthalten. Die Betroffenen haben Maßnahmen nach Satz 1 zu dulden.</w:t>
      </w:r>
    </w:p>
    <w:p>
      <w:r>
        <w:t xml:space="preserve">(4) Die Bediensteten der Bundesanstalt dürfen Gegenstände sicherstellen, die als Beweismittel für die Ermittlung des Sachverhalts von Bedeutung sein können. Werden die Gegenstände für das Verwaltungsverfahren nicht mehr benötigt, so werden diese an den letzten Gewahrsamsinhaber herausgegeben. Die Betroffenen haben Maßnahmen nach Satz 1 zu dulden.</w:t>
      </w:r>
    </w:p>
    <w:p>
      <w:r>
        <w:rPr>
          <w:color w:val="555555"/>
          <w:sz w:val="17"/>
        </w:rPr>
        <w:t xml:space="preserve">Zitiervorschlag: § 14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