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133 KAGB — Veränderliches Kapital, Kündigung von Kommanditanteilen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Kommanditisten können ihre Kommanditbeteiligung in voller Höhe oder zu einem Teilbetrag kündigen. Kündigt ein Kommanditist, erhält er einen Abfindungsanspruch gegen die offene Investmentkommanditgesellschaft in Höhe seines gekündigten Anteils am Wert des Gesellschaftsvermögens, gegebenenfalls abzüglich der Aufwendungen, die der offenen Investmentkommanditgesellschaft entstanden sind. Das Recht zur Kündigung nach Satz 1 besteht bei der intern verwalteten offenen Investmentkommanditgesellschaft nur, wenn durch die Erfüllung des Abfindungsanspruchs das Gesellschaftsvermögen den Betrag des Anfangskapitals und der zusätzlich erforderlichen Eigenmittel gemäß § 25 nicht unterschreitet. Die Einzelheiten der Kündigung regelt der Gesellschaftsvertrag. Für die Beschränkung des Rechts der Anleger auf Kündigung nach Satz 1 im Gesellschaftsvertrag gelten § 98 Absatz 1a bis 5 und § 283 Absatz 3 entsprechend.</w:t>
      </w:r>
    </w:p>
    <w:p>
      <w:r>
        <w:t xml:space="preserve">(2) Die Erfüllung des Abfindungsanspruchs gilt nicht als Rückzahlung der Einlage des Kommanditisten. Ab dem Zeitpunkt des Ausscheidens haftet der ausgeschiedene Kommanditist nicht für Verbindlichkeiten der offenen Investmentkommanditgesellschaft.</w:t>
      </w:r>
    </w:p>
    <w:p>
      <w:r>
        <w:rPr>
          <w:color w:val="555555"/>
          <w:sz w:val="17"/>
        </w:rPr>
        <w:t xml:space="preserve">Zitiervorschlag: § 133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