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KAGB — Informationsaustausch mit der Deutschen Bundesbank</w:t>
      </w:r>
    </w:p>
    <w:p>
      <w:r>
        <w:rPr>
          <w:color w:val="555555"/>
          <w:sz w:val="18"/>
        </w:rPr>
        <w:t xml:space="preserve">Kapitalanlagegesetzbuch</w:t>
      </w:r>
    </w:p>
    <w:p>
      <w:r>
        <w:rPr>
          <w:color w:val="555555"/>
          <w:sz w:val="18"/>
        </w:rPr>
        <w:t xml:space="preserve">Stand: 18.04.2026 (konsolidierte Textfassung, kein amtliches Inkrafttretensdatum)</w:t>
      </w:r>
    </w:p>
    <w:p>
      <w:r>
        <w:t xml:space="preserve">(1) Die Bundesanstalt und die Deutsche Bundesbank haben einander Beobachtungen und Feststellungen mitzuteilen, die für die Erfüllung ihrer jeweiligen Aufgaben erforderlich sind.</w:t>
      </w:r>
    </w:p>
    <w:p>
      <w:r>
        <w:t xml:space="preserve">(2) Die Bundesanstalt hat der Deutschen Bundesbank insbesondere die Informationen und Unterlagen gemäß</w:t>
      </w:r>
    </w:p>
    <w:p>
      <w:pPr>
        <w:ind w:left="420"/>
      </w:pPr>
      <w:r>
        <w:t xml:space="preserve">1. § 19 Absatz 1 Satz 1 und 2 und Absatz 5 auch in Verbindung mit § 108 Absatz 3,</w:t>
      </w:r>
    </w:p>
    <w:p>
      <w:pPr>
        <w:ind w:left="420"/>
      </w:pPr>
      <w:r>
        <w:t xml:space="preserve">2. § 34 Absatz 3 Nummer 3, 4 und 7 bis 11 und Absatz 4, den §§ 35, 38 Absatz 1 Satz 2 und Absatz 4 Satz 2,</w:t>
      </w:r>
    </w:p>
    <w:p>
      <w:pPr>
        <w:ind w:left="420"/>
      </w:pPr>
      <w:r>
        <w:t xml:space="preserve">3. § 49 Absatz 1 und 4 Satz 1, § 53 Absatz 2 und, soweit es sich um eine Änderung der in § 53 Absatz 2 genannten Angaben handelt, § 53 Absatz 5,</w:t>
      </w:r>
    </w:p>
    <w:p>
      <w:pPr>
        <w:ind w:left="420"/>
      </w:pPr>
      <w:r>
        <w:t xml:space="preserve">4. § 68 Absatz 7 Satz 4,</w:t>
      </w:r>
    </w:p>
    <w:p>
      <w:pPr>
        <w:ind w:left="420"/>
      </w:pPr>
      <w:r>
        <w:t xml:space="preserve">5. § 121 Absatz 3 Satz 4, auch in Verbindung mit § 148 Absatz 1 Satz 1, § 159 Satz 2, soweit interne Kapitalverwaltungsgesellschaften geprüft wurden,</w:t>
      </w:r>
    </w:p>
    <w:p>
      <w:pPr>
        <w:ind w:left="420"/>
      </w:pPr>
      <w:r>
        <w:t xml:space="preserve">6. § 114 Satz 1, § 130 Satz 1, § 145 Satz 1, § 155 Satz 1,</w:t>
      </w:r>
    </w:p>
    <w:p>
      <w:pPr>
        <w:ind w:left="420"/>
      </w:pPr>
      <w:r>
        <w:t xml:space="preserve">7. § 200 Absatz 4</w:t>
      </w:r>
    </w:p>
    <w:p>
      <w:r>
        <w:t xml:space="preserve">zur Verfügung zu stellen.</w:t>
      </w:r>
    </w:p>
    <w:p>
      <w:r>
        <w:t xml:space="preserve">(3) Die Deutsche Bundesbank hat der Bundesanstalt insbesondere die Angaben zur Verfügung zu stellen, die sie auf Grund statistischer Erhebungen nach § 18 des Gesetzes über die Deutsche Bundesbank erlangt. Sie hat vor Anordnung einer solchen Erhebung die Bundesanstalt zu hören; § 18 Satz 5 des Gesetzes über die Deutsche Bundesbank gilt entsprechend.</w:t>
      </w:r>
    </w:p>
    <w:p>
      <w:r>
        <w:t xml:space="preserve">(4) Die Bundesanstalt und die Deutsche Bundesbank regeln einvernehmlich die Einzelheiten der Weiterleitung der Beobachtungen, Feststellungen, Informationen, Unterlagen und Angaben im Sinne der Absätze 1 bis 3.</w:t>
      </w:r>
    </w:p>
    <w:p>
      <w:r>
        <w:t xml:space="preserve">(5) Der Informationsaustausch nach den Absätzen 1 bis 3 schließt die Übermittlung der personenbezogenen Daten ein, die zur Erfüllung der Aufgaben der empfangenden Stelle erforderlich sind. Zur Erfüllung ihrer Aufgabe dürfen die Bundesanstalt und die Deutsche Bundesbank vereinbaren, dass gegenseitig die bei der anderen Stelle jeweils gespeicherten Daten im automatisierten Verfahren abgerufen werden dürfen. Im Übrigen gilt § 7 Absatz 4 und 5 des Kreditwesengesetzes entsprechend.</w:t>
      </w:r>
    </w:p>
    <w:p>
      <w:r>
        <w:rPr>
          <w:color w:val="555555"/>
          <w:sz w:val="17"/>
        </w:rPr>
        <w:t xml:space="preserve">Zitiervorschlag: § 13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