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127 KAGB — Anleger</w:t>
      </w:r>
    </w:p>
    <w:p>
      <w:r>
        <w:rPr>
          <w:color w:val="555555"/>
          <w:sz w:val="18"/>
        </w:rPr>
        <w:t xml:space="preserve">Kapitalanlagegesetzbuch</w:t>
      </w:r>
    </w:p>
    <w:p>
      <w:r>
        <w:rPr>
          <w:color w:val="555555"/>
          <w:sz w:val="18"/>
        </w:rPr>
        <w:t xml:space="preserve">Stand: 10.06.2019 (konsolidierte Textfassung, kein amtliches Inkrafttretensdatum)</w:t>
      </w:r>
    </w:p>
    <w:p>
      <w:r>
        <w:t xml:space="preserve">(1) Anteile an offenen Investmentkommanditgesellschaften und an Teilgesellschaftsvermögen von offenen Investmentkommanditgesellschaften dürfen ausschließlich von professionellen und semiprofessionellen Anlegern erworben werden. Die Anleger dürfen sich an offenen Investmentkommanditgesellschaften nur unmittelbar als Kommanditisten beteiligen.</w:t>
      </w:r>
    </w:p>
    <w:p>
      <w:r>
        <w:t xml:space="preserve">(2) Eine Rückgewähr der Einlage oder eine Ausschüttung, die den Wert der Kommanditeinlage unter den Betrag der Einlage herabmindert, darf nur mit Zustimmung des betroffenen Kommanditisten erfolgen. Vor der Zustimmung ist der Kommanditist darauf hinzuweisen, dass er den Gläubigern der Gesellschaft unmittelbar haftet, soweit die Einlage durch die Rückgewähr oder Ausschüttung zurückbezahlt wird.</w:t>
      </w:r>
    </w:p>
    <w:p>
      <w:r>
        <w:t xml:space="preserve">(3) Der Anspruch der offenen Investmentkommanditgesellschaft gegen einen Kommanditisten auf Leistung der Einlage erlischt, sobald er seine Kommanditeinlage erbracht hat. Die Kommanditisten sind nicht verpflichtet, entstandene Verluste auszugleichen. Eine Nachschusspflicht der Kommanditisten ist ausgeschlossen. § 707 des Bürgerlichen Gesetzbuchs ist nicht abdingbar. Entgegenstehende Vereinbarungen sind unwirksam.</w:t>
      </w:r>
    </w:p>
    <w:p>
      <w:r>
        <w:t xml:space="preserve">(4) Der Eintritt eines Kommanditisten in eine bestehende offene Investmentkommanditgesellschaft wird erst mit der Eintragung des Eintritts des Kommanditisten im Handelsregister wirksam.</w:t>
      </w:r>
    </w:p>
    <w:p>
      <w:r>
        <w:rPr>
          <w:color w:val="555555"/>
          <w:sz w:val="17"/>
        </w:rPr>
        <w:t xml:space="preserve">Zitiervorschlag: § 127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https://recht.nulegal.eu/gesetze/KAGB/127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