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KAGB — Rechtsform, anwendbare Vorschriften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Offene Investmentkommanditgesellschaften dürfen nur in der Rechtsform der Kommanditgesellschaft betrieben werden. Die Bestimmungen des Handelsgesetzbuchs sind anzuwenden, soweit sich aus den Vorschriften dieses Unterabschnitts nichts anderes ergibt.</w:t>
      </w:r>
    </w:p>
    <w:p>
      <w:r>
        <w:t xml:space="preserve">(2) Auf die offene Investmentkommanditgesellschaft sind § 93 Absatz 7 und § 96 Absatz 1 entsprechend anwendbar.</w:t>
      </w:r>
    </w:p>
    <w:p>
      <w:r>
        <w:rPr>
          <w:color w:val="555555"/>
          <w:sz w:val="17"/>
        </w:rPr>
        <w:t xml:space="preserve">Zitiervorschlag: § 124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