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123 KAGB — Offenlegung und Vorlage des Jahresabschlusses und Lageberichts sowie des Halbjahresberichts</w:t>
      </w:r>
    </w:p>
    <w:p>
      <w:r>
        <w:rPr>
          <w:color w:val="555555"/>
          <w:sz w:val="18"/>
        </w:rPr>
        <w:t xml:space="preserve">Kapitalanlagegesetzbuch</w:t>
      </w:r>
    </w:p>
    <w:p>
      <w:r>
        <w:rPr>
          <w:color w:val="555555"/>
          <w:sz w:val="18"/>
        </w:rPr>
        <w:t xml:space="preserve">Stand: 28.01.2022 (konsolidierte Textfassung, kein amtliches Inkrafttretensdatum)</w:t>
      </w:r>
    </w:p>
    <w:p>
      <w:r>
        <w:t xml:space="preserve">(1) Auf die Offenlegung des Jahresabschlusses und des Lageberichts einer Investmentaktiengesellschaft mit veränderlichem Kapital sind die Vorschriften des Vierten Unterabschnitts des Zweiten Abschnitts des Dritten Buches des Handelsgesetzbuchs mit der Maßgabe anzuwenden, dass</w:t>
      </w:r>
    </w:p>
    <w:p>
      <w:pPr>
        <w:ind w:left="420"/>
      </w:pPr>
      <w:r>
        <w:t xml:space="preserve">1. die Frist zur Offenlegung nach § 325 Absatz 1a Satz 1 des Handelsgesetzbuchs bei einer OGAW-Investmentaktiengesellschaft vier Monate und bei einer AIF-Publikumsinvestmentaktiengesellschaft mit veränderlichem Kapital sechs Monate beträgt und</w:t>
      </w:r>
    </w:p>
    <w:p>
      <w:pPr>
        <w:ind w:left="420"/>
      </w:pPr>
      <w:r>
        <w:t xml:space="preserve">2. die größenabhängigen Erleichterungen bei der Offenlegung nach den §§ 326 und 327 des Handelsgesetzbuchs bei einer Investmentaktiengesellschaft, die in Nummer 1 genannt ist, nicht in Anspruch genommen werden dürfen.</w:t>
      </w:r>
    </w:p>
    <w:p>
      <w:r>
        <w:t xml:space="preserve">Die Ordnungsgeldvorschriften der §§ 335 bis 335b des Handelsgesetzbuchs sind auf die Verletzung von Pflichten der Mitglieder des vertretungsberechtigten Organs der Investmentaktiengesellschaft mit veränderlichem Kapital entsprechend anzuwenden.</w:t>
      </w:r>
    </w:p>
    <w:p>
      <w:r>
        <w:t xml:space="preserve">(2) Die Offenlegung des Halbjahresberichts erfolgt nach Maßgabe des § 115 des Wertpapierhandelsgesetzes. Der Halbjahresbericht ist unverzüglich im Bundesanzeiger zu veröffentlichen.</w:t>
      </w:r>
    </w:p>
    <w:p>
      <w:r>
        <w:t xml:space="preserve">(3) Der Jahresabschluss und der Lagebericht nach Absatz 1 sowie der Halbjahresbericht nach Absatz 2 müssen dem Publikum an den Stellen zugänglich sein, die im Verkaufsprospekt und in den wesentlichen Anlegerinformationen angegebenen sind.</w:t>
      </w:r>
    </w:p>
    <w:p>
      <w:r>
        <w:t xml:space="preserve">(4) Einem Anleger der Investmentaktiengesellschaft mit veränderlichem Kapital sind der Jahresabschluss und der Lagebericht auf Anfrage vorzulegen.</w:t>
      </w:r>
    </w:p>
    <w:p>
      <w:r>
        <w:t xml:space="preserve">(5) Die Publikumsinvestmentaktiengesellschaft mit veränderlichem Kapital hat der Bundesanstalt den Halbjahresbericht unverzüglich nach der Erstellung zu übermitteln.</w:t>
      </w:r>
    </w:p>
    <w:p>
      <w:r>
        <w:rPr>
          <w:color w:val="555555"/>
          <w:sz w:val="17"/>
        </w:rPr>
        <w:t xml:space="preserve">Zitiervorschlag: § 123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