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122 KAGB — Halbjahres- und Liquidationsbericht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Soweit die Publikumsinvestmentaktiengesellschaft mit veränderlichem Kapital zur Aufstellung eines Halbjahresfinanzberichts nach § 115 des Wertpapierhandelsgesetzes verpflichtet ist, ist § 120 entsprechend anzuwenden. Dabei gelten die Verweise in § 120 Absatz 3 bis 6 auf § 101 nur in dem für den Halbjahresbericht gemäß § 103 erforderlichen Umfang. Soweit eine Prüfung oder prüferische Durchsicht durch den Abschlussprüfer erfolgt, gilt § 121 Absatz 2 und 3 entsprechend. Anderenfalls hat die Halbjahresberichterstattung nach Maßgabe der §§ 103 und 107 zu erfolgen.</w:t>
      </w:r>
    </w:p>
    <w:p>
      <w:r>
        <w:t xml:space="preserve">(2) Im Fall der Auflösung und Liquidation der Publikumsinvestmentaktiengesellschaft mit veränderlichem Kapital sind die §§ 120 und 121 entsprechend anzuwenden.</w:t>
      </w:r>
    </w:p>
    <w:p>
      <w:r>
        <w:rPr>
          <w:color w:val="555555"/>
          <w:sz w:val="17"/>
        </w:rPr>
        <w:t xml:space="preserve">Zitiervorschlag: § 122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