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KAGB — Meldungen der Bundesanstalt an die Europäische Kommission, an die europäischen Aufsichtsbehörden und an die das Unternehmensregister führende Stelle</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Bundesanstalt meldet der Europäischen Kommission auf deren Verlangen</w:t>
      </w:r>
    </w:p>
    <w:p>
      <w:pPr>
        <w:ind w:left="420"/>
      </w:pPr>
      <w:r>
        <w:t xml:space="preserve">1. jede nach § 19 angezeigte Absicht von einem Unternehmen mit Sitz in einem Drittstaat, eine bedeutende Beteiligung an einer OGAW-Kapitalverwaltungsgesellschaft zu erwerben,</w:t>
      </w:r>
    </w:p>
    <w:p>
      <w:pPr>
        <w:ind w:left="420"/>
      </w:pPr>
      <w:r>
        <w:t xml:space="preserve">2. jeden Antrag auf Erteilung einer Erlaubnis nach § 21 durch ein Tochterunternehmen eines Unternehmens mit Sitz in einem Drittstaat.</w:t>
      </w:r>
    </w:p>
    <w:p>
      <w:r>
        <w:t xml:space="preserve">(2) Die Bundesanstalt meldet der Europäischen Kommission unverzüglich</w:t>
      </w:r>
    </w:p>
    <w:p>
      <w:pPr>
        <w:ind w:left="420"/>
      </w:pPr>
      <w:r>
        <w:t xml:space="preserve">1. die Zahl und die Art der Fälle, in denen eine Zweigniederlassung in einem anderen Mitgliedstaat der Europäischen Union oder einem anderen Vertragsstaat des Abkommens über den Europäischen Wirtschaftsraum nicht errichtet worden ist, weil die Bundesanstalt die Weiterleitung der Anzeige nach § 49 Absatz 2 Satz 3 abgelehnt hat,</w:t>
      </w:r>
    </w:p>
    <w:p>
      <w:pPr>
        <w:ind w:left="420"/>
      </w:pPr>
      <w:r>
        <w:t xml:space="preserve">2. die Zahl und die Art der Fälle, in denen Maßnahmen nach § 51 Absatz 5 Satz 3 und Absatz 6 Satz 1 ergriffen wurden,</w:t>
      </w:r>
    </w:p>
    <w:p>
      <w:pPr>
        <w:ind w:left="420"/>
      </w:pPr>
      <w:r>
        <w:t xml:space="preserve">3. allgemeine Schwierigkeiten, auf die OGAW-Kapitalverwaltungsgesellschaften bei der Errichtung von Zweigniederlassungen, der Gründung von Tochterunternehmen oder beim Betreiben von Dienstleistungen und Nebendienstleistungen nach § 20 Absatz 2 Nummer 1 bis 3 in einem Drittstaat gestoßen sind,</w:t>
      </w:r>
    </w:p>
    <w:p>
      <w:pPr>
        <w:ind w:left="420"/>
      </w:pPr>
      <w:r>
        <w:t xml:space="preserve">4. jede nach § 311 Absatz 3 Satz 1 Nummer 1 ergriffene Maßnahme,</w:t>
      </w:r>
    </w:p>
    <w:p>
      <w:pPr>
        <w:ind w:left="420"/>
      </w:pPr>
      <w:r>
        <w:t xml:space="preserve">5. allgemeine Schwierigkeiten, die die OGAW-Kapitalverwaltungsgesellschaften beim Vertrieb von Anteilen in einem Drittstaat haben.</w:t>
      </w:r>
    </w:p>
    <w:p>
      <w:r>
        <w:t xml:space="preserve">(3) Die Bundesanstalt stellt der Europäischen Kommission jährlich folgende Informationen über AIF-Verwaltungsgesellschaften zur Verfügung, die AIF unter ihrer Aufsicht verwalten oder vertreiben:</w:t>
      </w:r>
    </w:p>
    <w:p>
      <w:pPr>
        <w:ind w:left="420"/>
      </w:pPr>
      <w:r>
        <w:t xml:space="preserve">1. Angaben zum Sitz der betreffenden AIF-Verwaltungsgesellschaft,</w:t>
      </w:r>
    </w:p>
    <w:p>
      <w:pPr>
        <w:ind w:left="420"/>
      </w:pPr>
      <w:r>
        <w:t xml:space="preserve">2. gegebenenfalls die Angabe der inländischen AIF oder der EU-AIF, die von den betreffenden AIF-Verwaltungsgesellschaften verwaltet oder vertrieben werden,</w:t>
      </w:r>
    </w:p>
    <w:p>
      <w:pPr>
        <w:ind w:left="420"/>
      </w:pPr>
      <w:r>
        <w:t xml:space="preserve">3. gegebenenfalls die Angabe der ausländischen AIF, die von AIF-Kapitalverwaltungsgesellschaften verwaltet, aber nicht in der Europäischen Union oder in einem anderen Vertragsstaat des Abkommens über den Europäischen Wirtschaftsraum vertrieben werden,</w:t>
      </w:r>
    </w:p>
    <w:p>
      <w:pPr>
        <w:ind w:left="420"/>
      </w:pPr>
      <w:r>
        <w:t xml:space="preserve">4. gegebenenfalls die Angabe der in der Europäischen Union oder in einem anderen Vertragsstaat des Abkommens über den Europäischen Wirtschaftsraum vertriebenen ausländischen AIF,</w:t>
      </w:r>
    </w:p>
    <w:p>
      <w:pPr>
        <w:ind w:left="420"/>
      </w:pPr>
      <w:r>
        <w:t xml:space="preserve">5. Angaben zu der anwendbaren nationalen oder unionsrechtlichen Regelung, in deren Rahmen die betreffenden AIF-Verwaltungsgesellschaften ihre Tätigkeiten ausüben,</w:t>
      </w:r>
    </w:p>
    <w:p>
      <w:pPr>
        <w:ind w:left="420"/>
      </w:pPr>
      <w:r>
        <w:t xml:space="preserve">6. sonstige Informationen, die wichtig sind, um zu verstehen, wie die Verwaltung und der Vertrieb von AIF durch AIF-Verwaltungsgesellschaften in der Europäischen Union oder in einem anderen Vertragsstaat des Abkommens über den Europäischen Wirtschaftsraum in der Praxis funktionieren, und</w:t>
      </w:r>
    </w:p>
    <w:p>
      <w:pPr>
        <w:ind w:left="420"/>
      </w:pPr>
      <w:r>
        <w:t xml:space="preserve">7. der Zeitpunkt, ab dem die Passregelung nach den §§ 57, 58, 65, 66, 322, 324 bis 328 und 331 bis 334 angewendet wurde.</w:t>
      </w:r>
    </w:p>
    <w:p>
      <w:r>
        <w:t xml:space="preserve">(4) Die Bundesanstalt meldet der Europäischen Wertpapier- und Marktaufsichtsbehörde unverzüglich</w:t>
      </w:r>
    </w:p>
    <w:p>
      <w:pPr>
        <w:ind w:left="420"/>
      </w:pPr>
      <w:r>
        <w:t xml:space="preserve">1. die Angaben nach Absatz 2 Satz 1 Nummer 1, 2, 4 und 5,</w:t>
      </w:r>
    </w:p>
    <w:p>
      <w:pPr>
        <w:ind w:left="420"/>
      </w:pPr>
      <w:r>
        <w:t xml:space="preserve">2. die Befreiung einer ausländischen AIF-Verwaltungsgesellschaft, deren Referenzmitgliedstaat die Bundesrepublik Deutschland ist, nach § 59 Absatz 1, bestimmte Vorschriften der Richtlinie 2011/61/EU einzuhalten,</w:t>
      </w:r>
    </w:p>
    <w:p>
      <w:pPr>
        <w:ind w:left="420"/>
      </w:pPr>
      <w:r>
        <w:t xml:space="preserve">3. das Ergebnis des Erlaubnisverfahrens, Änderungen hinsichtlich der Erlaubnis und die Aufhebung der Erlaubnis einer ausländischen AIF-Verwaltungsgesellschaft, deren Referenzmitgliedstaat die Bundesrepublik Deutschland ist, nach § 60 Absatz 1,</w:t>
      </w:r>
    </w:p>
    <w:p>
      <w:pPr>
        <w:ind w:left="420"/>
      </w:pPr>
      <w:r>
        <w:t xml:space="preserve">4. die Änderungen in Bezug auf die Beendigung des Vertriebs oder des zusätzlichen Vertriebs von AIF gemäß § 322 Absatz 1 Satz 1 durch AIF-Kapitalverwaltungsgesellschaften</w:t>
      </w:r>
    </w:p>
    <w:p>
      <w:pPr>
        <w:ind w:left="780"/>
      </w:pPr>
      <w:r>
        <w:t xml:space="preserve">a) im Inland nach § 322 Absatz 5 Satz 3 und</w:t>
      </w:r>
    </w:p>
    <w:p>
      <w:pPr>
        <w:ind w:left="780"/>
      </w:pPr>
      <w:r>
        <w:t xml:space="preserve">b) in anderen Mitgliedstaaten der Europäischen Union und anderen Vertragsstaaten des Abkommens über den Europäischen Wirtschaftsraum nach § 332 Absatz 3 Nummer 2,</w:t>
      </w:r>
    </w:p>
    <w:p>
      <w:pPr>
        <w:ind w:left="420"/>
      </w:pPr>
      <w:r>
        <w:t xml:space="preserve">5. die Änderungen in Bezug auf die Beendigung des Vertriebs oder des zusätzlichen Vertriebs von EU-AIF oder inländischen AIF durch AIF-Verwaltungsgesellschaften, deren Referenzmitgliedstaat die Bundesrepublik Deutschland ist,</w:t>
      </w:r>
    </w:p>
    <w:p>
      <w:pPr>
        <w:ind w:left="780"/>
      </w:pPr>
      <w:r>
        <w:t xml:space="preserve">a) im Inland nach § 325 Absatz 2 Nummer 3 und</w:t>
      </w:r>
    </w:p>
    <w:p>
      <w:pPr>
        <w:ind w:left="780"/>
      </w:pPr>
      <w:r>
        <w:t xml:space="preserve">b) in anderen Mitgliedstaaten der Europäischen Union und anderen Vertragsstaaten des Abkommens über den Europäischen Wirtschaftsraum nach § 333 Absatz 2 Nummer 3,</w:t>
      </w:r>
    </w:p>
    <w:p>
      <w:pPr>
        <w:ind w:left="420"/>
      </w:pPr>
      <w:r>
        <w:t xml:space="preserve">6. die Änderungen in Bezug auf die Beendigung des Vertriebs oder des zusätzlichen Vertriebs von ausländischen AIF durch AIF-Verwaltungsgesellschaften, deren Referenzmitgliedstaat die Bundesrepublik Deutschland ist,</w:t>
      </w:r>
    </w:p>
    <w:p>
      <w:pPr>
        <w:ind w:left="780"/>
      </w:pPr>
      <w:r>
        <w:t xml:space="preserve">a) im Inland nach § 326 Absatz 3 in Verbindung mit § 322 Absatz 5 und</w:t>
      </w:r>
    </w:p>
    <w:p>
      <w:pPr>
        <w:ind w:left="780"/>
      </w:pPr>
      <w:r>
        <w:t xml:space="preserve">b) in anderen Mitgliedstaaten der Europäischen Union und anderen Vertragsstaaten des Abkommens über den Europäischen Wirtschaftsraum nach § 334 Absatz 3 Nummer 3,</w:t>
      </w:r>
    </w:p>
    <w:p>
      <w:pPr>
        <w:ind w:left="420"/>
      </w:pPr>
      <w:r>
        <w:t xml:space="preserve">7. die Aktivierung oder Deaktivierung von Liquiditätsmanagementinstrumenten nach Eingang einer Mitteilung nach § 35 Absatz 4a und 4b.</w:t>
      </w:r>
    </w:p>
    <w:p>
      <w:r>
        <w:t xml:space="preserve">Die Bundesanstalt hat die Information nach Satz 1 Nummer 7 gleichzeitig zusätzlich dem Europäischen Ausschuss für Systemrisiken zu übermitteln, wenn die Aktivierung oder die Deaktivierung mit potenziellen Risiken für die Stabilität und die Integrität des Finanzsystems verbunden ist.</w:t>
      </w:r>
    </w:p>
    <w:p>
      <w:r>
        <w:t xml:space="preserve">(5) Die Bundesanstalt meldet der Europäischen Wertpapier- und Marktaufsichtsbehörde vierteljährlich</w:t>
      </w:r>
    </w:p>
    <w:p>
      <w:pPr>
        <w:ind w:left="420"/>
      </w:pPr>
      <w:r>
        <w:t xml:space="preserve">1. die nach § 22 erteilten Erlaubnisse und nach § 39 aufgehobenen Erlaubnisse,</w:t>
      </w:r>
    </w:p>
    <w:p>
      <w:pPr>
        <w:ind w:left="420"/>
      </w:pPr>
      <w:r>
        <w:t xml:space="preserve">2. Informationen zu AIF-Verwaltungsgesellschaften, die der Aufsicht der Bundesanstalt unterliegende AIF entweder gemäß der unionsrechtlich vorgesehenen Passregelung oder den nationalen Regelungen verwalten oder vertreiben, und alle Änderungen der Liste der vorgenannten AIF, die von der AIF-Kapitalverwaltungsgesellschaft verwaltet oder vertrieben werden.</w:t>
      </w:r>
    </w:p>
    <w:p>
      <w:r>
        <w:t xml:space="preserve">(6) Ferner informiert die Bundesanstalt die Europäische Wertpapier- und Marktaufsichtsbehörde über</w:t>
      </w:r>
    </w:p>
    <w:p>
      <w:pPr>
        <w:ind w:left="420"/>
      </w:pPr>
      <w:r>
        <w:t xml:space="preserve">1. jede erteilte Erlaubnis nach § 21,</w:t>
      </w:r>
    </w:p>
    <w:p>
      <w:pPr>
        <w:ind w:left="420"/>
      </w:pPr>
      <w:r>
        <w:t xml:space="preserve">2. die Informationen nach § 35 Absatz 5, die zusätzlich von AIF-Kapitalverwaltungsgesellschaften und ausländischen AIF-Verwaltungsgesellschaften, deren Referenzmitgliedstaat die Bundesrepublik Deutschland ist, gefordert worden sind,</w:t>
      </w:r>
    </w:p>
    <w:p>
      <w:pPr>
        <w:ind w:left="420"/>
      </w:pPr>
      <w:r>
        <w:t xml:space="preserve">3. den Vorschlag zur Erteilung der Erlaubnis für eine ausländische AIF-Verwaltungsgesellschaft, deren Referenzmitgliedstaat die Bundesrepublik Deutschland ist, entgegen der Empfehlung der Europäischen Wertpapier- und Marktaufsichtsbehörde gemäß § 58 Absatz 5 und § 59 Absatz 3,</w:t>
      </w:r>
    </w:p>
    <w:p>
      <w:pPr>
        <w:ind w:left="420"/>
      </w:pPr>
      <w:r>
        <w:t xml:space="preserve">4. abgelehnte Erlaubnisanträge mit Angaben zu der ausländischen AIF-Verwaltungsgesellschaft unter Angabe der Gründe für die Ablehnung gemäß § 60 Absatz 2,</w:t>
      </w:r>
    </w:p>
    <w:p>
      <w:pPr>
        <w:ind w:left="420"/>
      </w:pPr>
      <w:r>
        <w:t xml:space="preserve">5. die Beurteilung zur Festlegung der ausländischen AIF-Verwaltungsgesellschaft, deren ursprünglicher Referenzmitgliedstaat die Bundesrepublik Deutschland ist, gemäß § 61 Absatz 1 einschließlich der Begründung der ausländischen AIF-Verwaltungsgesellschaft für ihre Beurteilung hinsichtlich des Referenzmitgliedstaates und Informationen über die neue Vertriebsstrategie der ausländischen AIF-Verwaltungsgesellschaft gemäß § 61 Absatz 2,</w:t>
      </w:r>
    </w:p>
    <w:p>
      <w:pPr>
        <w:ind w:left="420"/>
      </w:pPr>
      <w:r>
        <w:t xml:space="preserve">6. die Entscheidung nach Erhalt der Empfehlung der Europäischen Wertpapier- und Marktaufsichtsbehörde unter Angabe der Gründe gemäß § 61 Absatz 4,</w:t>
      </w:r>
    </w:p>
    <w:p>
      <w:pPr>
        <w:ind w:left="420"/>
      </w:pPr>
      <w:r>
        <w:t xml:space="preserve">7. die abschließende Entscheidung unter Angabe der Gründe, sofern diese in Widerspruch zu der Empfehlung der Europäischen Wertpapier- und Marktaufsichtsbehörde steht, gemäß § 61 Absatz 5 Nummer 1,</w:t>
      </w:r>
    </w:p>
    <w:p>
      <w:pPr>
        <w:ind w:left="420"/>
      </w:pPr>
      <w:r>
        <w:t xml:space="preserve">8. den möglichen Beginn des Vertriebs von AIF gemäß § 322 Absatz 1 Satz 1 durch AIF-Kapitalverwaltungsgesellschaften</w:t>
      </w:r>
    </w:p>
    <w:p>
      <w:pPr>
        <w:ind w:left="780"/>
      </w:pPr>
      <w:r>
        <w:t xml:space="preserve">a) im Inland nach § 322 Absatz 4 und</w:t>
      </w:r>
    </w:p>
    <w:p>
      <w:pPr>
        <w:ind w:left="780"/>
      </w:pPr>
      <w:r>
        <w:t xml:space="preserve">b) in anderen Mitgliedstaaten der Europäischen Union und Vertragsstaaten des Abkommens über den Europäischen Wirtschaftsraum nach § 332 Absatz 3 Nummer 1,</w:t>
      </w:r>
    </w:p>
    <w:p>
      <w:pPr>
        <w:ind w:left="420"/>
      </w:pPr>
      <w:r>
        <w:t xml:space="preserve">9. den möglichen Beginn des Vertriebs von EU-AIF oder inländischen AIF durch eine ausländische AIF-Verwaltungsgesellschaft, deren Referenzmitgliedstaat die Bundesrepublik Deutschland ist,</w:t>
      </w:r>
    </w:p>
    <w:p>
      <w:pPr>
        <w:ind w:left="780"/>
      </w:pPr>
      <w:r>
        <w:t xml:space="preserve">a) im Inland nach § 325 Absatz 2 Nummer 3 und</w:t>
      </w:r>
    </w:p>
    <w:p>
      <w:pPr>
        <w:ind w:left="780"/>
      </w:pPr>
      <w:r>
        <w:t xml:space="preserve">b) in anderen Mitgliedstaaten der Europäischen Union und Vertragsstaaten des Abkommens über den Europäischen Wirtschaftsraum nach § 333 Absatz 2 Nummer 2,</w:t>
      </w:r>
    </w:p>
    <w:p>
      <w:pPr>
        <w:ind w:left="420"/>
      </w:pPr>
      <w:r>
        <w:t xml:space="preserve">10. den möglichen Beginn des Vertriebs von ausländischen AIF durch eine ausländische AIF-Verwaltungsgesellschaft, deren Referenzmitgliedstaat die Bundesrepublik Deutschland ist,</w:t>
      </w:r>
    </w:p>
    <w:p>
      <w:pPr>
        <w:ind w:left="780"/>
      </w:pPr>
      <w:r>
        <w:t xml:space="preserve">a) im Inland nach § 326 Absatz 3 in Verbindung mit § 322 Absatz 4 und</w:t>
      </w:r>
    </w:p>
    <w:p>
      <w:pPr>
        <w:ind w:left="780"/>
      </w:pPr>
      <w:r>
        <w:t xml:space="preserve">b) in anderen Mitgliedstaaten der Europäischen Union und Vertragsstaaten des Abkommens über den Europäischen Wirtschaftsraum nach § 334 Absatz 3 Nummer 2,</w:t>
      </w:r>
    </w:p>
    <w:p>
      <w:pPr>
        <w:ind w:left="420"/>
      </w:pPr>
      <w:r>
        <w:t xml:space="preserve">11. die Möglichkeit des Beginns der Verwaltung von EU-AIF durch eine ausländische AIF-Verwaltungsgesellschaft, deren Referenzmitgliedstaat die Bundesrepublik Deutschland ist, in anderen Mitgliedstaaten der Europäischen Union und Vertragsstaaten des Abkommens über den Europäischen Wirtschaftsraum nach § 65 Absatz 4,</w:t>
      </w:r>
    </w:p>
    <w:p>
      <w:pPr>
        <w:ind w:left="420"/>
      </w:pPr>
      <w:r>
        <w:t xml:space="preserve">12. die Auffassung, dass eine ausländische AIF-Verwaltungsgesellschaft, deren Referenzmitgliedstaat die Bundesrepublik Deutschland ist, nicht den Pflichten der Richtlinie 2011/61/EU nachkommt, unter Angabe der Gründe,</w:t>
      </w:r>
    </w:p>
    <w:p>
      <w:pPr>
        <w:ind w:left="420"/>
      </w:pPr>
      <w:r>
        <w:t xml:space="preserve">13. hinreichende Anhaltspunkte für einen Verstoß einer AIF-Verwaltungsgesellschaft, die nicht der Aufsicht der Bundesanstalt unterliegt, gegen Bestimmungen der Richtlinie 2011/61/EU gemäß § 9 Absatz 10,</w:t>
      </w:r>
    </w:p>
    <w:p>
      <w:pPr>
        <w:ind w:left="420"/>
      </w:pPr>
      <w:r>
        <w:t xml:space="preserve">14. vorgenommene Maßnahmen und Sanktionen gegenüber AIF-Verwaltungsgesellschaften,</w:t>
      </w:r>
    </w:p>
    <w:p>
      <w:pPr>
        <w:ind w:left="420"/>
      </w:pPr>
      <w:r>
        <w:t xml:space="preserve">15. die Geschäfte von AIF-Kapitalverwaltungsgesellschaften und ausländischen AIF-Verwaltungsgesellschaften, deren Referenzmitgliedstaat die Bundesrepublik Deutschland ist, entsprechend § 9 Absatz 4 sowie Informationen, die gemäß den §§ 22 und 35 erhoben wurden, in zusammengefasster Form gemäß § 9 Absatz 5,</w:t>
      </w:r>
    </w:p>
    <w:p>
      <w:pPr>
        <w:ind w:left="420"/>
      </w:pPr>
      <w:r>
        <w:t xml:space="preserve">16. jede Änderung in Bezug auf die Arten von Publikums-AIF und die zusätzlich vorgesehenen Vorgaben für Publikums-AIF,</w:t>
      </w:r>
    </w:p>
    <w:p>
      <w:pPr>
        <w:ind w:left="420"/>
      </w:pPr>
      <w:r>
        <w:t xml:space="preserve">17. die Absicht, den Umfang des Leverage gemäß § 215 Absatz 2 Satz 1 auch in Verbindung mit § 274 zu beschränken und die eingeleiteten Schritte bezüglich sonstiger Beschränkungen der Verwaltung des AIF gemäß § 215 Absatz 2 Satz 2 und 3, auch in Verbindung mit § 274,</w:t>
      </w:r>
    </w:p>
    <w:p>
      <w:pPr>
        <w:ind w:left="420"/>
      </w:pPr>
      <w:r>
        <w:t xml:space="preserve">18. Maßnahmen entsprechend Nummer 17 entgegen der Empfehlung der Europäischen Wertpapier- und Marktaufsichtsbehörde unter Angabe der Gründe nach § 215 Absatz 4 Satz 2, auch in Verbindung mit § 274,</w:t>
      </w:r>
    </w:p>
    <w:p>
      <w:pPr>
        <w:ind w:left="420"/>
      </w:pPr>
      <w:r>
        <w:t xml:space="preserve">19. alle nach § 341a Absatz 1 Satz 1 Nummer 1 und 3, soweit sie auf die Richtlinie 2009/65/EG oder die Verordnung (EU) 2017/2402 zurückgehen, oder die in § 120 Absatz 21 des Wertpapierhandelsgesetzes in Bezug genommen werden und auf die Verordnung (EU) 2015/2365 zurückgehen sowie die in § 120 Absatz 22 des Wertpapierhandelsgesetzes in Bezug genommen werden und auf die Artikel 16, 23, 28 und 29 der Verordnung (EU) 2016/1011 zurückgehen, bekannt gemachten oder in Verbindung mit § 341a Absatz 3 nicht bekannt gemachten bestandskräftigen Maßnahmen und unanfechtbar gewordenen Bußgeldentscheidungen; die Bundesanstalt übermittelt der Europäischen Wertpapier- und Marktaufsichtsbehörde die verfahrensabschließenden letztinstanzlichen Entscheidungen zu Strafverfahren, die Straftaten nach § 339 Absatz 1 Nummer 1 bezüglich des Betreibens des Geschäfts einer OGAW-Kapitalverwaltungsgesellschaft zum Gegenstand haben, sowie die Begründung; die Bundesanstalt übermittelt der Europäischen Wertpapier- und Marktaufsichtsbehörde jährlich eine Zusammenfassung von Informationen über Maßnahmen und Bußgeldentscheidungen wegen Verstößen gegen Gebote und Verbote, die in § 340 Absatz 7 Nummer 1 in Bezug genommen werden und auf die Richtlinie 2009/65/EG zurückgehen,</w:t>
      </w:r>
    </w:p>
    <w:p>
      <w:pPr>
        <w:ind w:left="420"/>
      </w:pPr>
      <w:r>
        <w:t xml:space="preserve">20. jede Erlaubnis zur Wiederverbriefung gemäß Artikel 8 Absatz 2 der Verordnung (EU) 2017/2402,</w:t>
      </w:r>
    </w:p>
    <w:p>
      <w:pPr>
        <w:ind w:left="420"/>
      </w:pPr>
      <w:r>
        <w:t xml:space="preserve">21. alle verhängten verwaltungsrechtlichen Sanktionen sowie gegebenenfalls diesbezügliche Rechtsbehelfsverfahren und deren Ausgang, sofern sie auf die Verordnung (EU) 2017/2402 gestützt werden,</w:t>
      </w:r>
    </w:p>
    <w:p>
      <w:pPr>
        <w:ind w:left="420"/>
      </w:pPr>
      <w:r>
        <w:t xml:space="preserve">22. Anordnungen nach § 98 Absatz 3 Satz 1.</w:t>
      </w:r>
    </w:p>
    <w:p>
      <w:r>
        <w:t xml:space="preserve">Die Bundesanstalt hat die Informationen nach Satz 1 Nummer 15 und 17 zusätzlich dem Europäischen Ausschuss für Systemrisiken und die Informationen nach Satz 1 Nummer 16 zusätzlich der Europäischen Kommission zu übermitteln. Die Bundesanstalt hat die Informationen nach Satz 1 Nummer 22 gleichzeitig zusätzlich den zuständigen Behörden des Aufnahmemitgliedstaates des Investmentvermögens, den zuständigen Behörden des Herkunftsmitgliedstaates der Verwaltungsgesellschaft und, falls potenzielle Risiken für die Stabilität und Integrität des Finanzsystems bestehen, dem Europäischen Ausschuss für Systemrisiken zu übermitteln.</w:t>
      </w:r>
    </w:p>
    <w:p>
      <w:r>
        <w:t xml:space="preserve">(7) Die Bundesanstalt meldet der Europäischen Bankenaufsichtsbehörde, der Europäischen Wertpapier- und Marktaufsichtsbehörde und der Europäischen Aufsichtsbehörde für das Versicherungswesen und die betriebliche Altersversorgung unter Beachtung des Verfahrens nach Artikel 36 Absatz 6 der Verordnung (EU) 2017/2402, wenn sie als zuständige Behörde der gemäß Artikel 27 Absatz 1 dieser Verordnung benannten ersten Anlaufstelle von einem Verstoß gegen die Anforderungen des Artikels 27 Absatz 1 erfährt.</w:t>
      </w:r>
    </w:p>
    <w:p>
      <w:r>
        <w:t xml:space="preserve">(8) Die Bundesanstalt übermittelt der das Unternehmensregister führenden Stelle einmal jährlich Name und Anschrift folgender, ihr bekannt werdender Kapitalverwaltungsgesellschaften und Investmentgesellschaften:</w:t>
      </w:r>
    </w:p>
    <w:p>
      <w:pPr>
        <w:ind w:left="420"/>
      </w:pPr>
      <w:r>
        <w:t xml:space="preserve">1. externer Kapitalverwaltungsgesellschaften,</w:t>
      </w:r>
    </w:p>
    <w:p>
      <w:pPr>
        <w:ind w:left="420"/>
      </w:pPr>
      <w:r>
        <w:t xml:space="preserve">2. registrierter AIF-Kapitalverwaltungsgesellschaften,</w:t>
      </w:r>
    </w:p>
    <w:p>
      <w:pPr>
        <w:ind w:left="420"/>
      </w:pPr>
      <w:r>
        <w:t xml:space="preserve">3. OGAW-Investmentaktiengesellschaften,</w:t>
      </w:r>
    </w:p>
    <w:p>
      <w:pPr>
        <w:ind w:left="420"/>
      </w:pPr>
      <w:r>
        <w:t xml:space="preserve">4. AIF-Publikumsinvestmentaktiengesellschaften mit variablem Kapital,</w:t>
      </w:r>
    </w:p>
    <w:p>
      <w:pPr>
        <w:ind w:left="420"/>
      </w:pPr>
      <w:r>
        <w:t xml:space="preserve">5. AIF-Spezialinvestmentaktiengesellschaften mit variablem Kapital,</w:t>
      </w:r>
    </w:p>
    <w:p>
      <w:pPr>
        <w:ind w:left="420"/>
      </w:pPr>
      <w:r>
        <w:t xml:space="preserve">6. offener Investmentkommanditgesellschaften,</w:t>
      </w:r>
    </w:p>
    <w:p>
      <w:pPr>
        <w:ind w:left="420"/>
      </w:pPr>
      <w:r>
        <w:t xml:space="preserve">7. Publikumsinvestmentaktiengesellschaften mit fixem Kapital,</w:t>
      </w:r>
    </w:p>
    <w:p>
      <w:pPr>
        <w:ind w:left="420"/>
      </w:pPr>
      <w:r>
        <w:t xml:space="preserve">8. Spezialinvestmentaktiengesellschaften mit fixem Kapital,</w:t>
      </w:r>
    </w:p>
    <w:p>
      <w:pPr>
        <w:ind w:left="420"/>
      </w:pPr>
      <w:r>
        <w:t xml:space="preserve">9. geschlossener Publikumsinvestmentkommanditgesellschaften sowie</w:t>
      </w:r>
    </w:p>
    <w:p>
      <w:pPr>
        <w:ind w:left="420"/>
      </w:pPr>
      <w:r>
        <w:t xml:space="preserve">10. geschlossener Spezialinvestmentkommanditgesellschaften.</w:t>
      </w:r>
    </w:p>
    <w:p>
      <w:r>
        <w:t xml:space="preserve">Ein Bekanntwerden im Sinne des Satzes 1 ist gegeben:</w:t>
      </w:r>
    </w:p>
    <w:p>
      <w:pPr>
        <w:ind w:left="420"/>
      </w:pPr>
      <w:r>
        <w:t xml:space="preserve">1. bei Kapitalverwaltungsgesellschaften mit Erteilung der Erlaubnis oder Bestätigung der Registrierung,</w:t>
      </w:r>
    </w:p>
    <w:p>
      <w:pPr>
        <w:ind w:left="420"/>
      </w:pPr>
      <w:r>
        <w:t xml:space="preserve">2. bei Publikumsinvestmentvermögen mit Genehmigung der Anlagebedingungen,</w:t>
      </w:r>
    </w:p>
    <w:p>
      <w:pPr>
        <w:ind w:left="420"/>
      </w:pPr>
      <w:r>
        <w:t xml:space="preserve">3. bei Spezialinvestmentvermögen mit der Vorlage der Anlagebedingungen bei der Bundesanstalt.</w:t>
      </w:r>
    </w:p>
    <w:p>
      <w:r>
        <w:rPr>
          <w:color w:val="555555"/>
          <w:sz w:val="17"/>
        </w:rPr>
        <w:t xml:space="preserve">Zitiervorschlag: § 12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