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KAGB — Erlaubnisantrag und Erlaubniserteilung bei der extern verwalteten OGAW-Investmentaktiengesellschaft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Eine extern verwaltete OGAW-Investmentaktiengesellschaft bedarf zum Geschäftsbetrieb der Erlaubnis durch die Bundesanstalt. Die Erlaubnis darf der extern verwalteten OGAW-Investmentaktiengesellschaft nur erteilt werden, wenn</w:t>
      </w:r>
    </w:p>
    <w:p>
      <w:pPr>
        <w:ind w:left="420"/>
      </w:pPr>
      <w:r>
        <w:t xml:space="preserve">1. sie eine externe OGAW-Kapitalverwaltungsgesellschaft benannt hat,</w:t>
      </w:r>
    </w:p>
    <w:p>
      <w:pPr>
        <w:ind w:left="420"/>
      </w:pPr>
      <w:r>
        <w:t xml:space="preserve">2. die Geschäftsleiter der OGAW-Investmentaktiengesellschaft zuverlässig sind und die zur Leitung der OGAW-Investmentaktiengesellschaft erforderliche fachliche Eignung haben, auch in Bezug auf die Art des Unternehmensgegenstandes der OGAW-Investmentaktiengesellschaft, und</w:t>
      </w:r>
    </w:p>
    <w:p>
      <w:pPr>
        <w:ind w:left="420"/>
      </w:pPr>
      <w:r>
        <w:t xml:space="preserve">3. die Satzung der OGAW-Investmentaktiengesellschaft den Anforderungen dieses Gesetzes entspricht.</w:t>
      </w:r>
    </w:p>
    <w:p>
      <w:r>
        <w:t xml:space="preserve">Dem Antragsteller ist binnen zwei Monaten nach Einreichung eines vollständigen Antrags mitzuteilen, ob eine Erlaubnis erteilt wird. Die Ablehnung des Antrags ist zu begründen.</w:t>
      </w:r>
    </w:p>
    <w:p>
      <w:r>
        <w:t xml:space="preserve">(2) Die Bundesanstalt kann die Erlaubnis außer nach den Vorschriften des Verwaltungsverfahrensgesetzes insbesondere dann aufheben oder, soweit dies im Einzelfall ausreichend ist, aussetzen, wenn</w:t>
      </w:r>
    </w:p>
    <w:p>
      <w:pPr>
        <w:ind w:left="420"/>
      </w:pPr>
      <w:r>
        <w:t xml:space="preserve">1. die OGAW-Investmentaktiengesellschaft die Erlaubnis auf Grund falscher Erklärungen oder auf sonstige rechtswidrige Weise erhalten hat,</w:t>
      </w:r>
    </w:p>
    <w:p>
      <w:pPr>
        <w:ind w:left="420"/>
      </w:pPr>
      <w:r>
        <w:t xml:space="preserve">2. die Voraussetzungen nach Absatz 1 nicht mehr erfüllt sind,</w:t>
      </w:r>
    </w:p>
    <w:p>
      <w:pPr>
        <w:ind w:left="420"/>
      </w:pPr>
      <w:r>
        <w:t xml:space="preserve">3. gegen die OGAW-Investmentgesellschaft auf Grund einer Ordnungswidrigkeit nach § 340 Absatz 1 Nummer 1 oder Absatz 2 Nummer 1 Buchstabe a oder Nummer 3 oder auf Grund einer wiederholten Ordnungswidrigkeit nach § 340 Absatz 2 Nummer 24 Buchstabe c oder Nummer 32 eine Geldbuße festgesetzt werden kann oder</w:t>
      </w:r>
    </w:p>
    <w:p>
      <w:pPr>
        <w:ind w:left="420"/>
      </w:pPr>
      <w:r>
        <w:t xml:space="preserve">4. die OGAW-Investmentaktiengesellschaft nachhaltig gegen die Bestimmungen dieses Gesetzes verstößt.</w:t>
      </w:r>
    </w:p>
    <w:p>
      <w:r>
        <w:t xml:space="preserve">Die §§ 15, 16 und 39 Absatz 4 gelten entsprechend.</w:t>
      </w:r>
    </w:p>
    <w:p>
      <w:r>
        <w:t xml:space="preserve">(3) In den Fällen des Absatzes 2 kann die Bundesanstalt statt der Aufhebung der Erlaubnis die Abberufung der verantwortlichen Geschäftsleiter verlangen und ihnen oder einer anderen verantwortlichen natürlichen Person, die in der OGAW-Investmentaktiengesellschaft tätig ist, die Ausübung ihrer Tätigkeit untersagen.</w:t>
      </w:r>
    </w:p>
    <w:p>
      <w:r>
        <w:rPr>
          <w:color w:val="555555"/>
          <w:sz w:val="17"/>
        </w:rPr>
        <w:t xml:space="preserve">Zitiervorschlag: § 113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