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112 KAGB — Verwaltung und Anlage</w:t>
      </w:r>
    </w:p>
    <w:p>
      <w:r>
        <w:rPr>
          <w:color w:val="555555"/>
          <w:sz w:val="18"/>
        </w:rPr>
        <w:t xml:space="preserve">Kapitalanlagegesetzbuch</w:t>
      </w:r>
    </w:p>
    <w:p>
      <w:r>
        <w:rPr>
          <w:color w:val="555555"/>
          <w:sz w:val="18"/>
        </w:rPr>
        <w:t xml:space="preserve">Stand: 10.06.2019 (konsolidierte Textfassung, kein amtliches Inkrafttretensdatum)</w:t>
      </w:r>
    </w:p>
    <w:p>
      <w:r>
        <w:t xml:space="preserve">(1) Die Investmentaktiengesellschaft mit veränderlichem Kapital kann eine ihrem Unternehmensgegenstand entsprechende externe Kapitalverwaltungsgesellschaft bestellen. Dieser obliegt neben der Ausführung der allgemeinen Verwaltungstätigkeit insbesondere auch die Anlage und Verwaltung der Mittel der Investmentaktiengesellschaft mit veränderlichem Kapital. Die Bestellung einer externen Kapitalverwaltungsgesellschaft ist kein Fall des § 36 und auch nicht als Unternehmensvertrag im Sinne des Aktiengesetzes anzusehen. § 99 ist entsprechend anzuwenden. § 100 ist entsprechend anzuwenden mit der Maßgabe, dass das Verwaltungs- und Verfügungsrecht über das Gesellschaftsvermögen nur dann auf die Verwahrstelle zur Abwicklung übergeht, wenn</w:t>
      </w:r>
    </w:p>
    <w:p>
      <w:pPr>
        <w:ind w:left="420"/>
      </w:pPr>
      <w:r>
        <w:t xml:space="preserve">1. die Investmentaktiengesellschaft mit veränderlichem Kapital</w:t>
      </w:r>
    </w:p>
    <w:p>
      <w:pPr>
        <w:ind w:left="780"/>
      </w:pPr>
      <w:r>
        <w:t xml:space="preserve">a) sich nicht in eine intern verwaltete Investmentaktiengesellschaft mit veränderlichem Kapital umwandelt oder</w:t>
      </w:r>
    </w:p>
    <w:p>
      <w:pPr>
        <w:ind w:left="780"/>
      </w:pPr>
      <w:r>
        <w:t xml:space="preserve">b) keine andere Kapitalverwaltungsgesellschaft bestellt und</w:t>
      </w:r>
    </w:p>
    <w:p>
      <w:pPr>
        <w:ind w:left="420"/>
      </w:pPr>
      <w:r>
        <w:t xml:space="preserve">2. dies</w:t>
      </w:r>
    </w:p>
    <w:p>
      <w:pPr>
        <w:ind w:left="780"/>
      </w:pPr>
      <w:r>
        <w:t xml:space="preserve">a) bei Publikumsinvestmentaktiengesellschaften mit veränderlichem Kapital jeweils von der Bundesanstalt genehmigt wird und</w:t>
      </w:r>
    </w:p>
    <w:p>
      <w:pPr>
        <w:ind w:left="780"/>
      </w:pPr>
      <w:r>
        <w:t xml:space="preserve">b) bei Spezialinvestmentaktiengesellschaften mit veränderlichem Kapital jeweils der Bundesanstalt angezeigt wird.</w:t>
      </w:r>
    </w:p>
    <w:p>
      <w:r>
        <w:t xml:space="preserve">Im Fall der Bestellung einer anderen Kapitalverwaltungsgesellschaft ist § 100b entsprechend anzuwenden.</w:t>
      </w:r>
    </w:p>
    <w:p>
      <w:r>
        <w:t xml:space="preserve">(2) Eine intern verwaltete Investmentaktiengesellschaft mit veränderlichem Kapital darf bewegliches und unbewegliches Vermögen erwerben, das für den Betrieb der Investmentaktiengesellschaft notwendig ist (Investmentbetriebsvermögen). Den Erwerb darf sie nicht mit Kapital aus der Begebung von Anlageaktien bestreiten. Als Publikumsinvestmentaktiengesellschaft mit veränderlichem Kapital darf sie maximal Kredite in Höhe von bis zu 10 Prozent ihres Gesellschaftsvermögens aufnehmen, soweit dies den Erwerb von unbeweglichem Vermögen ermöglichen soll, das für die Ausübung ihrer Tätigkeit notwendig ist; die Kreditaufnahme darf jedoch zusammen mit der Kreditaufnahme gemäß § 199 nicht mehr als 15 Prozent oder zusammen mit der Kreditaufnahme gemäß § 221 Absatz 6 nicht mehr als 25 Prozent des Gesellschaftsvermögens betragen.</w:t>
      </w:r>
    </w:p>
    <w:p>
      <w:r>
        <w:rPr>
          <w:color w:val="555555"/>
          <w:sz w:val="17"/>
        </w:rPr>
        <w:t xml:space="preserve">Zitiervorschlag: § 112 KAGB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https://recht.nulegal.eu/gesetze/KAGB/112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