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KAGB — Satzung</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Satzung der Investmentaktiengesellschaft mit veränderlichem Kapital muss die Bestimmung enthalten, dass der Betrag des Gesellschaftskapitals dem Wert des Gesellschaftsvermögens entspricht. Der Wert des Gesellschaftsvermögens entspricht der Summe der jeweiligen Verkehrswerte der zum Gesellschaftsvermögen gehörenden Vermögensgegenstände abzüglich der aufgenommenen Kredite und sonstigen Verbindlichkeiten.</w:t>
      </w:r>
    </w:p>
    <w:p>
      <w:r>
        <w:t xml:space="preserve">(2) Satzungsmäßig festgelegter Unternehmensgegenstand der Investmentaktiengesellschaft mit veränderlichem Kapital muss ausschließlich die Anlage und Verwaltung ihrer Mittel nach einer festen Anlagestrategie und dem Grundsatz der Risikomischung zur gemeinschaftlichen Kapitalanlage</w:t>
      </w:r>
    </w:p>
    <w:p>
      <w:pPr>
        <w:ind w:left="420"/>
      </w:pPr>
      <w:r>
        <w:t xml:space="preserve">1. bei OGAW-Investmentaktiengesellschaften mit veränderlichem Kapital nach Kapitel 2 Abschnitt 1 und 2,</w:t>
      </w:r>
    </w:p>
    <w:p>
      <w:pPr>
        <w:ind w:left="420"/>
      </w:pPr>
      <w:r>
        <w:t xml:space="preserve">2. bei AIF-Publikumsinvestmentaktiengesellschaften mit veränderlichem Kapital nach Kapitel 2 Abschnitt 1 und 3 und</w:t>
      </w:r>
    </w:p>
    <w:p>
      <w:pPr>
        <w:ind w:left="420"/>
      </w:pPr>
      <w:r>
        <w:t xml:space="preserve">3. bei Spezialinvestmentaktiengesellschaften mit veränderlichem Kapital gemäß Kapitel 3 Abschnitt 1 und 2 und, sofern es sich um einen offenen Entwicklungsförderungsfonds handelt, gemäß den §§ 292a bis 292c</w:t>
      </w:r>
    </w:p>
    <w:p>
      <w:r>
        <w:t xml:space="preserve">zum Nutzen ihrer Aktionäre sein. Die Satzung hat vorzusehen, dass die Aktionäre ein Recht zur Rückgabe ihrer Aktien nach den Vorgaben dieses Gesetzes haben.</w:t>
      </w:r>
    </w:p>
    <w:p>
      <w:r>
        <w:t xml:space="preserve">(3) Die Satzung von Spezialinvestmentaktiengesellschaften mit veränderlichem Kapital muss zusätzlich festlegen, dass die Aktien ausschließlich von professionellen Anlegern und semiprofessionellen Anlegern erworben werden dürfen.</w:t>
      </w:r>
    </w:p>
    <w:p>
      <w:r>
        <w:t xml:space="preserve">(4) Die Änderungen der Satzung einer OGAW-Investmentaktiengesellschaft bedürfen der Genehmigung. § 163 Absatz 2 Satz 1, 2 und 4 bis 8 gilt entsprechend.</w:t>
      </w:r>
    </w:p>
    <w:p>
      <w:r>
        <w:rPr>
          <w:color w:val="555555"/>
          <w:sz w:val="17"/>
        </w:rPr>
        <w:t xml:space="preserve">Zitiervorschlag: § 110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