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KAGB — Besondere Vorschriften für die Zusammenarbeit bei grenzüberschreitender Verwaltung und grenzüberschreitendem Vertrieb von AIF</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Stellt die Bundesanstalt fest, dass eine EU-AIF-Verwaltungsgesellschaft oder eine ausländische AIF-Verwaltungsgesellschaft, die im Inland AIF verwaltet, vertreibt oder einen Vertriebswiderruf angezeigt hat, gegen eine der Bestimmungen verstößt, deren Einhaltung die Bundesanstalt zu überwachen hat, fordert sie die betreffende EU-AIF-Verwaltungsgesellschaft oder ausländische AIF-Verwaltungsgesellschaft auf, den Verstoß zu beenden. Die Bundesanstalt unterrichtet die zuständigen Stellen des Herkunftsmitgliedstaates der EU-AIF-Verwaltungsgesellschaft oder des Referenzmitgliedstaates der ausländischen AIF-Verwaltungsgesellschaft entsprechend.</w:t>
      </w:r>
    </w:p>
    <w:p>
      <w:r>
        <w:t xml:space="preserve">(2) Weigert sich die EU-AIF-Verwaltungsgesellschaft oder die ausländische AIF-Verwaltungsgesellschaft, der Bundesanstalt die für die Erfüllung ihrer Aufgaben erforderlichen Informationen zukommen zu lassen oder unternimmt sie nicht die erforderlichen Schritte, um den Verstoß gemäß Absatz 1 zu beenden, setzt die Bundesanstalt die zuständigen Stellen des Herkunftsmitgliedstaates oder des Referenzmitgliedstaates hiervon in Kenntnis.</w:t>
      </w:r>
    </w:p>
    <w:p>
      <w:r>
        <w:t xml:space="preserve">(3) Erhält die Bundesanstalt die Mitteilung von einer zuständigen Stelle eines Aufnahmemitgliedstaates, dass eine AIF-Kapitalverwaltungsgesellschaft oder eine ausländische AIF-Verwaltungsgesellschaft, deren Referenzmitgliedstaat die Bundesrepublik Deutschland ist, die Herausgabe der zur Erfüllung der Aufgaben der zuständigen Stelle des Aufnahmemitgliedstaates erforderlichen Informationen verweigert,</w:t>
      </w:r>
    </w:p>
    <w:p>
      <w:pPr>
        <w:ind w:left="420"/>
      </w:pPr>
      <w:r>
        <w:t xml:space="preserve">1. trifft sie unverzüglich alle geeigneten Maßnahmen, um sicherzustellen, dass die betreffende AIF-Kapitalverwaltungsgesellschaft oder die ausländische AIF-Verwaltungsgesellschaft, deren Referenzmitgliedstaat die Bundesrepublik Deutschland ist, die von den zuständigen Stellen ihres Aufnahmemitgliedstaates gemäß Artikel 45 Absatz 3 der Richtlinie 2011/61/EU geforderten Informationen vorlegt oder den Verstoß gemäß Artikel 45 Absatz 4 der Richtlinie 2011/61/EU beendet,</w:t>
      </w:r>
    </w:p>
    <w:p>
      <w:pPr>
        <w:ind w:left="420"/>
      </w:pPr>
      <w:r>
        <w:t xml:space="preserve">2. ersucht sie die betreffenden zuständigen Stellen in Drittstaaten unverzüglich um Übermittlung der erforderlichen Informationen.</w:t>
      </w:r>
    </w:p>
    <w:p>
      <w:r>
        <w:t xml:space="preserve">Die Art der Maßnahmen gemäß Nummer 1 ist den zuständigen Stellen des Aufnahmemitgliedstaates der AIF-Kapitalverwaltungsgesellschaft oder der ausländischen AIF-Verwaltungsgesellschaft, deren Referenzmitgliedstaat die Bundesrepublik Deutschland ist, mitzuteilen.</w:t>
      </w:r>
    </w:p>
    <w:p>
      <w:r>
        <w:t xml:space="preserve">(4) Weigert sich die EU-AIF-Verwaltungsgesellschaft oder die ausländische AIF-Verwaltungsgesellschaft weiterhin, die von der Bundesanstalt gemäß § 5 Absatz 8 geforderten Informationen vorzulegen oder verstößt sie weiterhin gegen die in Absatz 1 genannten Bestimmungen,</w:t>
      </w:r>
    </w:p>
    <w:p>
      <w:pPr>
        <w:ind w:left="420"/>
      </w:pPr>
      <w:r>
        <w:t xml:space="preserve">1. obwohl eine Maßnahme gemäß Artikel 45 Absatz 5 Satz 2 der Richtlinie 2011/61/EU von den zuständigen Stellen ihres Herkunftsmitgliedstaates oder Referenzmitgliedstaates getroffen worden ist, oder</w:t>
      </w:r>
    </w:p>
    <w:p>
      <w:pPr>
        <w:ind w:left="420"/>
      </w:pPr>
      <w:r>
        <w:t xml:space="preserve">2. weil sich eine Maßnahme nach Nummer 1 als unzureichend erweist oder</w:t>
      </w:r>
    </w:p>
    <w:p>
      <w:pPr>
        <w:ind w:left="420"/>
      </w:pPr>
      <w:r>
        <w:t xml:space="preserve">3. weil eine Maßnahme nach Nummer 1 in dem fraglichen Mitgliedstaat der Europäischen Union oder Vertragsstaat des Abkommens über den Europäischen Wirtschaftsraum nicht verfügbar ist,</w:t>
      </w:r>
    </w:p>
    <w:p>
      <w:r>
        <w:t xml:space="preserve">kann die Bundesanstalt nach Unterrichtung der zuständigen Stellen des Herkunftsmitgliedstaates der EU-AIF-Verwaltungsgesellschaft oder des Referenzmitgliedstaates der ausländischen AIF-Verwaltungsgesellschaft geeignete Maßnahmen, einschließlich der Maßnahmen nach den §§ 5, 40 bis 42, 339 und 340, ergreifen, um die Verstöße zu ahnden oder weitere Verstöße zu verhindern. Soweit erforderlich, kann sie dieser EU-AIF-Verwaltungsgesellschaft oder ausländischen AIF-Verwaltungsgesellschaft auch neue Geschäfte im Inland untersagen. Verwaltet die EU-AIF-Verwaltungsgesellschaft oder die ausländische AIF-Verwaltungsgesellschaft AIF im Inland, kann die Bundesanstalt die Einstellung der Verwaltung verlangen.</w:t>
      </w:r>
    </w:p>
    <w:p>
      <w:r>
        <w:t xml:space="preserve">(5) Hat die Bundesanstalt hinreichende Anhaltspunkte für einen Verstoß einer EU-AIF-Verwaltungsgesellschaft oder einer ausländischen AIF-Verwaltungsgesellschaft gegen die Verpflichtungen nach diesem Gesetz, teilt sie ihre Erkenntnisse der zuständigen Stelle des Herkunftsmitgliedstaates der EU-AIF-Verwaltungsgesellschaft oder des Referenzmitgliedstaates der ausländischen AIF-Verwaltungsgesellschaft mit. Wenn die Bundesanstalt eine Mitteilung nach Satz 1 von einer anderen zuständigen Stelle erhalten hat,</w:t>
      </w:r>
    </w:p>
    <w:p>
      <w:pPr>
        <w:ind w:left="420"/>
      </w:pPr>
      <w:r>
        <w:t xml:space="preserve">1. ergreift sie geeignete Maßnahmen und</w:t>
      </w:r>
    </w:p>
    <w:p>
      <w:pPr>
        <w:ind w:left="420"/>
      </w:pPr>
      <w:r>
        <w:t xml:space="preserve">2. fordert sie gegebenenfalls Informationen von zuständigen Stellen in Drittstaaten an.</w:t>
      </w:r>
    </w:p>
    <w:p>
      <w:r>
        <w:t xml:space="preserve">(6) Verhält sich die EU-AIF-Verwaltungsgesellschaft oder eine ausländische AIF-Verwaltungsgesellschaft weiterhin in einer Art und Weise, die den Interessen der Anleger der betreffenden AIF, der Finanzstabilität oder der Integrität des Marktes in der Bundesrepublik Deutschland eindeutig abträglich ist,</w:t>
      </w:r>
    </w:p>
    <w:p>
      <w:pPr>
        <w:ind w:left="420"/>
      </w:pPr>
      <w:r>
        <w:t xml:space="preserve">1. obwohl von den zuständigen Stellen ihres Herkunftsmitgliedstaates oder Referenzmitgliedstaates eine Maßnahme gemäß Artikel 45 Absatz 7 der Richtlinie 2011/61/EU getroffen worden ist,</w:t>
      </w:r>
    </w:p>
    <w:p>
      <w:pPr>
        <w:ind w:left="420"/>
      </w:pPr>
      <w:r>
        <w:t xml:space="preserve">2. weil sich eine Maßnahme nach Nummer 1 als unzureichend erweist oder</w:t>
      </w:r>
    </w:p>
    <w:p>
      <w:pPr>
        <w:ind w:left="420"/>
      </w:pPr>
      <w:r>
        <w:t xml:space="preserve">3. weil der Herkunftsmitgliedstaat der AIF-Verwaltungsgesellschaft nicht rechtzeitig handelt,</w:t>
      </w:r>
    </w:p>
    <w:p>
      <w:r>
        <w:t xml:space="preserve">kann die Bundesanstalt nach Unterrichtung der zuständigen Stellen des Herkunftsmitgliedstaates der EU-AIF-Verwaltungsgesellschaft oder des Referenzmitgliedsstaates der ausländischen AIF-Verwaltungsgesellschaft alle erforderlichen Maßnahmen ergreifen, um die Anleger des betreffenden AIF, die Finanzstabilität und die Integrität des Marktes in der Bundesrepublik Deutschland zu schützen; sie hat auch die Möglichkeit, der EU-AIF-Verwaltungsgesellschaft oder der ausländischen AIF-Verwaltungsgesellschaft den weiteren Vertrieb von Anteilen des betreffenden AIF im Inland zu untersagen.</w:t>
      </w:r>
    </w:p>
    <w:p>
      <w:r>
        <w:t xml:space="preserve">(7) Das Verfahren nach den Absätzen 5 und 6 wird ferner angewendet, wenn die Bundesanstalt klare und belegbare Einwände gegen die Erlaubnis einer ausländischen AIF-Verwaltungsgesellschaft durch den Referenzmitgliedstaat hat.</w:t>
      </w:r>
    </w:p>
    <w:p>
      <w:r>
        <w:t xml:space="preserve">(8) Besteht zwischen der Bundesanstalt und den betreffenden zuständigen Stellen keine Einigkeit in Bezug auf eine von der Bundesanstalt oder einer zuständigen Stelle nach den Absätzen 1 bis 7 getroffene Maßnahme, kann die Bundesanstalt nach Maßgabe des Artikels 19 der Verordnung (EU) Nr. 1095/2010 die Europäische Wertpapier- und Marktaufsichtsbehörde um Hilfe ersuchen.</w:t>
      </w:r>
    </w:p>
    <w:p>
      <w:r>
        <w:t xml:space="preserve">(9) Auf Verlangen der Europäischen Wertpapier- und Marktaufsichtsbehörde gemäß Artikel 47 Absatz 4 der Richtlinie 2011/61/EU ergreift die Bundesanstalt nach Maßgabe des Absatzes 10 eine der folgenden Maßnahmen:</w:t>
      </w:r>
    </w:p>
    <w:p>
      <w:pPr>
        <w:ind w:left="420"/>
      </w:pPr>
      <w:r>
        <w:t xml:space="preserve">1. Untersagung des Vertriebs von Anteilen an AIF, die von ausländischen AIF-Verwaltungsgesellschaften verwaltet werden, oder von Anteilen an ausländischen AIF, die von AIF-Kapitalverwaltungsgesellschaften oder EU-AIF-Verwaltungsgesellschaften verwaltet werden, ohne dass</w:t>
      </w:r>
    </w:p>
    <w:p>
      <w:pPr>
        <w:ind w:left="780"/>
      </w:pPr>
      <w:r>
        <w:t xml:space="preserve">a) eine Erlaubnis nach § 57 erteilt wurde oder</w:t>
      </w:r>
    </w:p>
    <w:p>
      <w:pPr>
        <w:ind w:left="780"/>
      </w:pPr>
      <w:r>
        <w:t xml:space="preserve">b) die Anzeige nach § 320 Absatz 1, § 322 Absatz 2, § 324 Absatz 2, § 325 Absatz 1, § 326 Absatz 2, § 327 Absatz 1, § 328 Absatz 2, § 330 Absatz 2, § 332 Absatz 2, § 333 Absatz 1 oder § 334 Absatz 2 erstattet worden ist.</w:t>
      </w:r>
    </w:p>
    <w:p>
      <w:pPr>
        <w:ind w:left="420"/>
      </w:pPr>
      <w:r>
        <w:t xml:space="preserve">2. Beschränkungen für die Verwaltung eines AIF durch eine ausländische AIF-Verwaltungsgesellschaft, wenn</w:t>
      </w:r>
    </w:p>
    <w:p>
      <w:pPr>
        <w:ind w:left="780"/>
      </w:pPr>
      <w:r>
        <w:t xml:space="preserve">a) übermäßige Risikokonzentrationen in einem Markt auf grenzüberschreitender Grundlage vorliegen oder</w:t>
      </w:r>
    </w:p>
    <w:p>
      <w:pPr>
        <w:ind w:left="780"/>
      </w:pPr>
      <w:r>
        <w:t xml:space="preserve">b) ein erhebliches Kontrahentenrisiko für ein Kreditinstitut im Sinne des Artikels 4 Absatz 1 Nummer 1 der Verordnung (EU) Nr. 575/2013 oder sonstige systemrelevante Institute von der ausländischen AIF-Verwaltungsgesellschaft den oder dem AIF ausgeht.</w:t>
      </w:r>
    </w:p>
    <w:p>
      <w:pPr>
        <w:ind w:left="420"/>
      </w:pPr>
      <w:r>
        <w:t xml:space="preserve">3. Verlangen der Aktivierung oder Deaktivierung des in Anhang V Nummer 1 der Richtlinie 2011/61/EU genannten Liquiditätsmanagementinstruments durch ausländische AIF-Verwaltungsgesellschaften, welche die von ihnen verwalteten AIF im Geltungsbereich dieses Gesetzes vertreiben, oder durch EU-AIF-Verwaltungsgesellschaften, die ausländische AIF verwalten, im Interesse der Anleger, unter außergewöhnlichen Umständen und nach Anhörung der AIF-Verwaltungsgesellschaft, wenn Risiken für den Anlegerschutz oder die Finanzstabilität bestehen, die bei vernünftiger und ausgewogener Betrachtung eine solche Aktivierung oder Deaktivierung erforderlich machen.</w:t>
      </w:r>
    </w:p>
    <w:p>
      <w:r>
        <w:t xml:space="preserve">(10) Die Maßnahmen nach Absatz 9 können nur ergriffen werden, sofern sie die folgenden Voraussetzungen erfüllen:</w:t>
      </w:r>
    </w:p>
    <w:p>
      <w:pPr>
        <w:ind w:left="420"/>
      </w:pPr>
      <w:r>
        <w:t xml:space="preserve">1. sie begegnen wirksam den Risiken für die ordnungsgemäße Funktionsweise und die Integrität des Finanzmarktes oder die Stabilität des gesamten oder eines Teils des Finanzsystems in der Europäischen Union oder in einem anderen Vertragsstaat des Abkommens über den Europäischen Wirtschaftsraum oder sie verbessern die Möglichkeit der Bundesanstalt zur Überwachung dieser Risiken wesentlich;</w:t>
      </w:r>
    </w:p>
    <w:p>
      <w:pPr>
        <w:ind w:left="420"/>
      </w:pPr>
      <w:r>
        <w:t xml:space="preserve">2. sie bergen nicht das Risiko der Aufsichtsarbitrage;</w:t>
      </w:r>
    </w:p>
    <w:p>
      <w:pPr>
        <w:ind w:left="420"/>
      </w:pPr>
      <w:r>
        <w:t xml:space="preserve">3. sie haben keine unverhältnismäßigen negativen Auswirkungen auf die Funktionsfähigkeit des Finanzmarktes, einschließlich der Verringerung der Liquidität der Märkte, oder führen nicht in unverhältnismäßiger Weise zur Unsicherheit für Marktteilnehmer.</w:t>
      </w:r>
    </w:p>
    <w:p>
      <w:r>
        <w:t xml:space="preserve">(11) Die Bundesanstalt kann die Europäische Wertpapier- und Marktaufsichtsbehörde auffordern, ihren Beschluss zu überprüfen. Dabei kommt das in Artikel 44 Absatz 1 Unterabsatz 2 der Verordnung (EU) Nr. 1095/2010 vorgesehene Verfahren zur Anwendung.</w:t>
      </w:r>
    </w:p>
    <w:p>
      <w:r>
        <w:t xml:space="preserve">(12) Die Bundesanstalt informiert die zuständigen Stellen eines Aufnahmemitgliedstaates unverzüglich über alle nach § 35 Absatz 4a und 4b erhaltenen Mitteilungen über die Aktivierung oder Deaktivierung von Liquiditätsmanagementinstrumenten.</w:t>
      </w:r>
    </w:p>
    <w:p>
      <w:r>
        <w:t xml:space="preserve">(13) Die Bundesanstalt kann die zuständigen Behörden des Herkunftsmitgliedstaates einer AIF-Verwaltungsgesellschaft ersuchen, die in Artikel 46 Absatz 2 Buchstabe j der Richtlinie 2011/61/EU festgelegten Befugnisse auszuüben, wobei sie die Gründe für das Ersuchen angibt und die Europäische Wertpapier- und Marktaufsichtsbehörde und, falls potenzielle Risiken für die Stabilität und Integrität des Finanzsystems bestehen, den Europäischen Ausschuss für Systemrisiken davon in Kenntnis setzt.</w:t>
      </w:r>
    </w:p>
    <w:p>
      <w:r>
        <w:t xml:space="preserve">(14) Stimmt die Bundesanstalt einem in Artikel 50 Absatz 5b der Richtlinie 2011/61/EU genannten Antrag nicht zu, so unterrichtet sie die zuständige Behörde des Aufnahmemitgliedstaates der AIF-Verwaltungsgesellschaft, die Europäische Wertpapier- und Marktaufsichtsbehörde und, sofern der Europäische Ausschuss für Systemrisiken nach Artikel 50 Absatz 5b der Richtlinie 2011/61/EU über das Ersuchen unterrichtet wurde, auch diesen unter Angabe der Gründe für die Nichtzustimmung.</w:t>
      </w:r>
    </w:p>
    <w:p>
      <w:r>
        <w:t xml:space="preserve">(15) Befolgt die Bundesanstalt eine Stellungnahme der Europäischen Wertpapier- und Marktaufsichtsbehörde nach Artikel 50 Absatz 5d der Richtlinie 2011/61/EU nicht oder beabsichtigt sie nicht, eine solche Stellungnahme zu befolgen, so unterrichtet sie die Europäische Wertpapier- und Marktaufsichtsbehörde und die zuständigen Behörden des Aufnahmemitgliedstaates der AIF-Verwaltungsgesellschaft unter Angabe der Gründe für ihre Nichtbefolgung oder ihre entsprechende Absicht.</w:t>
      </w:r>
    </w:p>
    <w:p>
      <w:r>
        <w:t xml:space="preserve">(16) Die Bundesanstalt kann in begründeten Fällen die zuständigen Behörden des Herkunftsmitgliedstaates eines OGAW ersuchen, unverzüglich die Befugnisse nach Artikel 98 Absatz 2 der Richtlinie 2009/65/EG mit Ausnahme von Absatz 2 Buchstabe j desselben Artikels auszuüben. Die Bundesanstalt kann in begründeten Fällen die zuständigen Behörden des Herkunftsmitgliedstaates einer AIF-Verwaltungsgesellschaft ersuchen, unverzüglich die Befugnisse nach Artikel 46 Absatz 2 der Richtlinie 2011/61/EU mit Ausnahme von Absatz 2 Buchstabe j desselben Artikels auszuüben. In den Ersuchen nach den Sätzen 1 und 2 hat die Bundesanstalt die Gründe für ihr Ersuchen so genau wie möglich anzugeben und die Europäische Wertpapier- und Marktaufsichtsbehörde und, falls potenzielle Risiken für die Stabilität und Integrität des Finanzsystems bestehen, den Europäischen Ausschuss für Systemrisiken von den Ersuchen und den Gründen in Kenntnis zu setzen.</w:t>
      </w:r>
    </w:p>
    <w:p>
      <w:r>
        <w:t xml:space="preserve">(17) In dem Fall, dass ein Ersuchen nach Artikel 98 Absatz 3 Unterabsatz 1 der Richtlinie 2009/65/EG oder nach Artikel 50 Absatz 5f Unterabsatz 1 der Richtlinie 2011/61/EU an die Bundesanstalt gerichtet wurde, unterrichtet diese unverzüglich die zuständigen Behörden des Aufnahmemitgliedstaates des OGAW oder der AIF-Verwaltungsgesellschaft, die Europäische Wertpapier- und Marktaufsichtsbehörde und, falls potenzielle Risiken für die Stabilität und Integrität des Finanzsystems bestehen, den Europäischen Ausschuss für Systemrisiken über die ausgeübten Befugnisse und ihre Erkenntnisse.</w:t>
      </w:r>
    </w:p>
    <w:p>
      <w:r>
        <w:t xml:space="preserve">(18) In dem Fall, dass die Bundesanstalt Informationen nach Artikel 50 Absatz 5g Satz 1 der Richtlinie 2011/61/EU empfangen hat, ergreift sie geeignete Maßnahmen und unterrichten die Europäische Wertpapier- und Marktaufsichtsbehörde und die zuständigen Behörden, die die Informationen übermittelt haben, über den Ausgang dieser Maßnahmen.</w:t>
      </w:r>
    </w:p>
    <w:p>
      <w:r>
        <w:rPr>
          <w:color w:val="555555"/>
          <w:sz w:val="17"/>
        </w:rPr>
        <w:t xml:space="preserve">Zitiervorschlag: § 11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