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108 KAGB — Rechtsform, anwendbare Vorschriften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Investmentaktiengesellschaften mit veränderlichem Kapital dürfen nur in der Rechtsform der Aktiengesellschaft betrieben werden.</w:t>
      </w:r>
    </w:p>
    <w:p>
      <w:r>
        <w:t xml:space="preserve">(2) Die Investmentaktiengesellschaften mit veränderlichem Kapital unterliegen den Vorschriften des Aktiengesetzes mit Ausnahme des § 23 Absatz 5, der §§ 150 bis 158, 161, 182 bis 240 und 278 bis 290 des Aktiengesetzes, soweit sich aus den Vorschriften dieses Unterabschnitts nichts anderes ergibt. § 3 Absatz 2 des Aktiengesetzes und § 264d des Handelsgesetzbuchs sind auf Anlageaktien einer extern verwalteten Investmentaktiengesellschaft mit veränderlichem Kapital nicht anzuwenden.</w:t>
      </w:r>
    </w:p>
    <w:p>
      <w:r>
        <w:t xml:space="preserve">(3) Auf OGAW-Investmentaktiengesellschaften ist § 19 dieses Gesetzes mit der Maßgabe anzuwenden, dass</w:t>
      </w:r>
    </w:p>
    <w:p>
      <w:pPr>
        <w:ind w:left="420"/>
      </w:pPr>
      <w:r>
        <w:t xml:space="preserve">1. der beabsichtigte Erwerb einer Beteiligung nach § 19 Absatz 1 nur anzuzeigen ist, wenn die Schwelle von 50 Prozent der Stimmrechte oder des Kapitals erreicht oder überschritten wird oder die Gesellschaft unter die Kontrolle des Erwerbers der Beteiligung gerät und</w:t>
      </w:r>
    </w:p>
    <w:p>
      <w:pPr>
        <w:ind w:left="420"/>
      </w:pPr>
      <w:r>
        <w:t xml:space="preserve">2. die beabsichtigte Aufgabe einer Beteiligung nach § 19 Absatz 5 nur anzuzeigen ist, wenn diese Beteiligung die Schwelle von 50 Prozent der Stimmrechte oder des Kapitals erreicht oder überschritten hat oder die Gesellschaft kontrolliertes Unternehmen ist.</w:t>
      </w:r>
    </w:p>
    <w:p>
      <w:r>
        <w:t xml:space="preserve">(4) Auf die Investmentaktiengesellschaft mit veränderlichem Kapital sind § 93 Absatz 7 und § 96 entsprechend anwendbar.</w:t>
      </w:r>
    </w:p>
    <w:p>
      <w:r>
        <w:t xml:space="preserve">(5) Auf die Tätigkeit der Investmentaktiengesellschaft mit veränderlichem Kapital ist das Wertpapiererwerbs- und Übernahmegesetz nicht anzuwenden.</w:t>
      </w:r>
    </w:p>
    <w:p>
      <w:r>
        <w:rPr>
          <w:color w:val="555555"/>
          <w:sz w:val="17"/>
        </w:rPr>
        <w:t xml:space="preserve">Zitiervorschlag: § 108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https://recht.nulegal.eu/gesetze/KAGB/108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