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KAGB — Veröffentlichung der Jahres-, Halbjahres-, Zwischen-, Auflösungs- und Abwicklungsberichte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Der Jahresbericht</w:t>
      </w:r>
    </w:p>
    <w:p>
      <w:pPr>
        <w:ind w:left="420"/>
      </w:pPr>
      <w:r>
        <w:t xml:space="preserve">1. eines OGAW-Sondervermögens ist spätestens vier Monate nach Ablauf des Geschäftsjahres,</w:t>
      </w:r>
    </w:p>
    <w:p>
      <w:pPr>
        <w:ind w:left="420"/>
      </w:pPr>
      <w:r>
        <w:t xml:space="preserve">2. eines AIF-Publikumssondervermögens spätestens sechs Monate nach Ablauf des Geschäftsjahres</w:t>
      </w:r>
    </w:p>
    <w:p>
      <w:r>
        <w:t xml:space="preserve">im Bundesanzeiger bekannt zu machen. Der Halbjahresbericht eines Publikumssondervermögens ist spätestens zwei Monate nach dem Stichtag im Bundesanzeiger bekannt zu machen.</w:t>
      </w:r>
    </w:p>
    <w:p>
      <w:r>
        <w:t xml:space="preserve">(2) Der Auflösungs- und der Abwicklungsbericht eines Publikumssondervermögens sind spätestens drei Monate nach dem Stichtag im Bundesanzeiger bekannt zu machen.</w:t>
      </w:r>
    </w:p>
    <w:p>
      <w:r>
        <w:t xml:space="preserve">(3) Für die Publikumssondervermögen ist der Bundesanstalt der nach § 103 zu erstellende Halbjahresbericht unverzüglich nach erstmaliger Verwendung zu übermitteln. Auf Anfrage sind der Bundesanstalt der Jahresbericht, Halbjahresbericht, Zwischenbericht, Auflösungsbericht sowie Abwicklungsbericht für EU-OGAW, die von einer OGAW-Kapitalverwaltungsgesellschaft nach den §§ 49 und 50 verwaltet werden, zur Verfügung zu stellen.</w:t>
      </w:r>
    </w:p>
    <w:p>
      <w:r>
        <w:t xml:space="preserve">(4) Die Berichte nach den Absätzen 1 und 2 müssen dem Publikum an den Stellen zugänglich sein, die im Verkaufsprospekt und in den wesentlichen Anlegerinformationen angegeben sind.</w:t>
      </w:r>
    </w:p>
    <w:p>
      <w:r>
        <w:t xml:space="preserve">(5) Einem Anleger des Sondervermögens wird der Jahresbericht auf Anfrage vorgelegt.</w:t>
      </w:r>
    </w:p>
    <w:p>
      <w:r>
        <w:rPr>
          <w:color w:val="555555"/>
          <w:sz w:val="17"/>
        </w:rPr>
        <w:t xml:space="preserve">Zitiervorschlag: § 107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