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106 KAGB — Verordnungsermächtigung</w:t>
      </w:r>
    </w:p>
    <w:p>
      <w:r>
        <w:rPr>
          <w:color w:val="555555"/>
          <w:sz w:val="18"/>
        </w:rPr>
        <w:t xml:space="preserve">Kapitalanlagegesetzbuch</w:t>
      </w:r>
    </w:p>
    <w:p>
      <w:r>
        <w:rPr>
          <w:color w:val="555555"/>
          <w:sz w:val="18"/>
        </w:rPr>
        <w:t xml:space="preserve">Stand: 03.01.2024 (konsolidierte Textfassung, kein amtliches Inkrafttretensdatum)</w:t>
      </w:r>
    </w:p>
    <w:p>
      <w:r>
        <w:t xml:space="preserve">Das Bundesministerium der Finanzen wird ermächtigt, im Einvernehmen mit dem Bundesministerium der Justiz und für Verbraucherschutz durch Rechtsverordnung, die nicht der Zustimmung des Bundesrates bedarf, nähere Bestimmungen über den Gegenstand der Prüfung nach § 102 Satz 5 und über weitere Inhalte, Umfang und Darstellung der Berichte nach den §§ 101, 103, 104 und 105 sowie über den Inhalt der Prüfungsberichte für Sondervermögen sowie zur Art und Weise der Einreichung der zuvor genannten Berichte bei der Bundesanstalt zu erlassen, soweit dies zur Erfüllung der Aufgaben der Bundesanstalt erforderlich ist, insbesondere um einheitliche Unterlagen zur Beurteilung der Tätigkeit der Kapitalverwaltungsgesellschaften bei der Verwaltung von Sondervermögen zu erhalten. Das Bundesministerium der Finanzen kann die Ermächtigung durch Rechtsverordnung auf die Bundesanstalt übertragen.</w:t>
      </w:r>
    </w:p>
    <w:p>
      <w:r>
        <w:rPr>
          <w:color w:val="555555"/>
          <w:sz w:val="17"/>
        </w:rPr>
        <w:t xml:space="preserve">Zitiervorschlag: § 106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https://recht.nulegal.eu/gesetze/KAGB/106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