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KAGB — Auflösungs- und Abwicklungsbericht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(1) Wird ein Publikumssondervermögen aufgelöst, so hat die Kapitalverwaltungsgesellschaft auf den Tag, an dem ihr Verwaltungsrecht nach Maßgabe des § 99 erlischt, einen Auflösungsbericht zu erstellen, der den Anforderungen an einen Jahresbericht entspricht.</w:t>
      </w:r>
    </w:p>
    <w:p>
      <w:r>
        <w:t xml:space="preserve">(2) Wird ein Publikumssondervermögen abgewickelt, hat die Verwahrstelle jährlich sowie auf den Tag, an dem die Abwicklung beendet ist, einen Abwicklungsbericht zu erstellen, der den Anforderungen an einen Jahresbericht nach § 101 entspricht.</w:t>
      </w:r>
    </w:p>
    <w:p>
      <w:r>
        <w:t xml:space="preserve">(3) Auflösungs- und Abwicklungsberichte nach den Absätzen 1 und 2 sind ebenfalls durch einen Abschlussprüfer zu prüfen. Auf die Prüfung nach Satz 1 ist § 102 entsprechend anzuwenden.</w:t>
      </w:r>
    </w:p>
    <w:p>
      <w:r>
        <w:rPr>
          <w:color w:val="555555"/>
          <w:sz w:val="17"/>
        </w:rPr>
        <w:t xml:space="preserve">Zitiervorschlag: § 105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