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101 KAGB — Jahresbericht</w:t>
      </w:r>
    </w:p>
    <w:p>
      <w:r>
        <w:rPr>
          <w:color w:val="555555"/>
          <w:sz w:val="18"/>
        </w:rPr>
        <w:t xml:space="preserve">Kapitalanlagegesetzbuch</w:t>
      </w:r>
    </w:p>
    <w:p>
      <w:r>
        <w:rPr>
          <w:color w:val="555555"/>
          <w:sz w:val="18"/>
        </w:rPr>
        <w:t xml:space="preserve">Stand: 03.01.2024 (konsolidierte Textfassung, kein amtliches Inkrafttretensdatum)</w:t>
      </w:r>
    </w:p>
    <w:p>
      <w:r>
        <w:t xml:space="preserve">(1) Die Kapitalverwaltungsgesellschaft hat für jedes OGAW-Sondervermögen für den Schluss eines jeden Geschäftsjahres spätestens vier Monate nach Ende des Geschäftsjahres und für jedes AIF-Sondervermögen für den Schluss eines jeden Geschäftsjahres spätestens sechs Monate nach Ende des Geschäftsjahres einen Jahresbericht nach den Sätzen 2 und 3 zu erstellen. Der Jahresbericht muss einen Bericht über die Tätigkeit der Kapitalverwaltungsgesellschaft im abgelaufenen Geschäftsjahr und alle wesentlichen Angaben enthalten, die es den Anlegern ermöglichen, sich ein Urteil über diese Tätigkeit und die Ergebnisse des Sondervermögens zu bilden. Der Jahresbericht muss enthalten:</w:t>
      </w:r>
    </w:p>
    <w:p>
      <w:pPr>
        <w:ind w:left="420"/>
      </w:pPr>
      <w:r>
        <w:t xml:space="preserve">1. eine Vermögensaufstellung der zum Sondervermögen gehörenden Vermögensgegenstände sowie der Verbindlichkeiten aus Kreditaufnahmen, Pensionsgeschäften, Wertpapier-Darlehensgeschäften und der sonstigen Verbindlichkeiten. Die Vermögensgegenstände sind nach Art, Nennbetrag oder Zahl, Kurs und Kurswert aufzuführen. Der Wertpapierbestand ist zu untergliedern in Wertpapiere mit einer Zulassung zum Handel an einer Börse, an einem organisierten Markt zugelassene oder in diesen einbezogene Wertpapiere, Wertpapiere aus Neuemissionen, die an einer Börse zum Handel zugelassen oder an einem organisierten Markt zugelassen oder in diesen einbezogen werden sollen, sonstige Wertpapiere gemäß § 198 Absatz 1 Nummer 1 und 3 und verbriefte Geldmarktinstrumente sowie Schuldscheindarlehen, wobei eine weitere Gliederung nach geeigneten Kriterien unter Berücksichtigung der Anlagepolitik nach prozentualen Anteilen am Wert des Sondervermögens vorzunehmen ist. Für jeden Posten der Vermögensaufstellung ist sein Anteil am Wert des Sondervermögens anzugeben. Für jeden Posten der Wertpapiere, Geldmarktinstrumente und Investmentanteile sind auch die während des Berichtszeitraums getätigten Käufe und Verkäufe nach Nennbetrag oder Zahl aufzuführen. Der Wert des Sondervermögens ist anzugeben. Es ist anzugeben, inwieweit zum Sondervermögen gehörende Vermögensgegenstände Gegenstand von Rechten Dritter sind;</w:t>
      </w:r>
    </w:p>
    <w:p>
      <w:pPr>
        <w:ind w:left="420"/>
      </w:pPr>
      <w:r>
        <w:t xml:space="preserve">2. die während des Berichtszeitraums abgeschlossenen Geschäfte, die Finanzinstrumente zum Gegenstand haben, Pensionsgeschäfte und Wertpapier-Darlehen, soweit sie nicht mehr in der Vermögensaufstellung erscheinen. Die während des Berichtszeitraums von Spezialsondervermögen nach § 283 getätigten Leerverkäufe in Wertpapieren sind unter Nennung von Art, Nennbetrag oder Zahl, Zeitpunkt der Verkäufe und Nennung der erzielten Erlöse anzugeben;</w:t>
      </w:r>
    </w:p>
    <w:p>
      <w:pPr>
        <w:ind w:left="420"/>
      </w:pPr>
      <w:r>
        <w:t xml:space="preserve">3. die Anzahl der am Berichtsstichtag umlaufenden Anteile und der Wert eines Anteils gemäß § 168 Absatz 1;</w:t>
      </w:r>
    </w:p>
    <w:p>
      <w:pPr>
        <w:ind w:left="420"/>
      </w:pPr>
      <w:r>
        <w:t xml:space="preserve">4. eine nach Art der Erträge und Aufwendungen gegliederte Ertrags- und Aufwandsrechnung. Sie ist so zu gestalten, dass aus ihr die Erträge aus Anlagen, sonstige Erträge, Aufwendungen für die Verwaltung des Sondervermögens und für die Verwahrstelle, sonstige Aufwendungen und Gebühren und der Nettoertrag sowie Erhöhungen und Verminderungen des Sondervermögens durch Veräußerungsgeschäfte ersichtlich sind. Außerdem ist eine Übersicht über die Entwicklung des Sondervermögens während des Berichtszeitraums zu erstellen, die auch Angaben über ausgeschüttete und wieder angelegte Erträge, Mehr- oder Minderwerte bei den ausgewiesenen Vermögensgegenständen sowie Angaben über Mittelzuflüsse aus Anteilverkäufen und Mittelabflüsse durch Anteilrücknahmen enthalten muss;</w:t>
      </w:r>
    </w:p>
    <w:p>
      <w:pPr>
        <w:ind w:left="420"/>
      </w:pPr>
      <w:r>
        <w:t xml:space="preserve">5. die von der Kapitalverwaltungsgesellschaft beschlossene Verwendung der Erträge des Sondervermögens;</w:t>
      </w:r>
    </w:p>
    <w:p>
      <w:pPr>
        <w:ind w:left="420"/>
      </w:pPr>
      <w:r>
        <w:t xml:space="preserve">6. bei Publikumssondervermögen eine vergleichende Übersicht der letzten drei Geschäftsjahre, wobei zum Ende jedes Geschäftsjahres der Wert des Publikumssondervermögens und der Wert eines Anteils anzugeben sind.</w:t>
      </w:r>
    </w:p>
    <w:p>
      <w:r>
        <w:t xml:space="preserve">(2) Im Jahresbericht eines Publikumssondervermögens sind ferner anzugeben:</w:t>
      </w:r>
    </w:p>
    <w:p>
      <w:pPr>
        <w:ind w:left="420"/>
      </w:pPr>
      <w:r>
        <w:t xml:space="preserve">1. eine als Prozentsatz auszuweisende Gesamtkostenquote im Sinne des § 166 Absatz 5 Satz 1; sofern in den Anlagebedingungen eine erfolgsabhängige Verwaltungsvergütung oder eine zusätzliche Verwaltungsvergütung für den Erwerb, die Veräußerung oder die Verwaltung von Vermögensgegenständen nach § 231 Absatz 1 und § 234 vereinbart wurde, ist diese darüber hinaus gesondert als Prozentsatz des durchschnittlichen Nettoinventarwertes des Publikumssondervermögens anzugeben;</w:t>
      </w:r>
    </w:p>
    <w:p>
      <w:pPr>
        <w:ind w:left="420"/>
      </w:pPr>
      <w:r>
        <w:t xml:space="preserve">2. die an die Kapitalverwaltungsgesellschaft, die Verwahrstelle oder an Dritte geleisteten Vergütungen, falls in den Anlagebedingungen für die Vergütungen und Kosten eine Pauschalgebühr vereinbart wird; der Anleger ist darauf hinzuweisen, ob und welche Kosten dem Publikumssondervermögen gesondert in Rechnung gestellt werden;</w:t>
      </w:r>
    </w:p>
    <w:p>
      <w:pPr>
        <w:ind w:left="420"/>
      </w:pPr>
      <w:r>
        <w:t xml:space="preserve">3. eine Beschreibung, ob der Kapitalverwaltungsgesellschaft Rückvergütungen der aus dem Sondervermögen an die Verwahrstelle und an Dritte geleisteten Vergütungen und Aufwendungserstattungen zufließen und ob je nach Vertriebsweg ein wesentlicher Teil der aus dem Sondervermögen an die Kapitalverwaltungsgesellschaft geleisteten Vergütungen für Vergütungen an Vermittler von Anteilen des Sondervermögens auf den Bestand von vermittelten Anteilen verwendet werden;</w:t>
      </w:r>
    </w:p>
    <w:p>
      <w:pPr>
        <w:ind w:left="420"/>
      </w:pPr>
      <w:r>
        <w:t xml:space="preserve">4. der Betrag der Ausgabeaufschläge und Rücknahmeabschläge, die dem Sondervermögen im Berichtszeitraum für den Erwerb und die Rücknahme von Anteilen im Sinne der §§ 196 und 230 berechnet worden sind sowie die Vergütung, die dem Sondervermögen von der Kapitalverwaltungsgesellschaft selbst, einer anderen Kapitalverwaltungsgesellschaft oder einer Gesellschaft, mit der die Kapitalverwaltungsgesellschaft durch eine wesentliche unmittelbare oder mittelbare Beteiligung verbunden ist oder einer EU-Verwaltungsgesellschaft oder ausländischen AIF-Verwaltungsgesellschaft als Verwaltungsvergütung für die im Sondervermögen gehaltenen Anteile berechnet wurde;</w:t>
      </w:r>
    </w:p>
    <w:p>
      <w:pPr>
        <w:ind w:left="420"/>
      </w:pPr>
      <w:r>
        <w:t xml:space="preserve">5. die Angaben nach § 134c Absatz 4 des Aktiengesetzes oder ein Verweis auf die Internetseite, auf der diese Angaben veröffentlicht sind.</w:t>
      </w:r>
    </w:p>
    <w:p>
      <w:r>
        <w:t xml:space="preserve">(3) Der Jahresbericht eines AIF muss zusätzlich folgende Angaben enthalten:</w:t>
      </w:r>
    </w:p>
    <w:p>
      <w:pPr>
        <w:ind w:left="420"/>
      </w:pPr>
      <w:r>
        <w:t xml:space="preserve">1. die Gesamtsumme der im abgelaufenen Geschäftsjahr gezahlten Vergütungen, gegliedert in feste und variable von der Kapitalverwaltungsgesellschaft an ihre Mitarbeiter gezahlte Vergütungen, die Zahl der Begünstigten und gegebenenfalls der vom inländischen AIF gezahlten Carried Interest;</w:t>
      </w:r>
    </w:p>
    <w:p>
      <w:pPr>
        <w:ind w:left="420"/>
      </w:pPr>
      <w:r>
        <w:t xml:space="preserve">2. die Gesamtsumme der im abgelaufenen Geschäftsjahr gezahlten Vergütungen, aufgeteilt nach Führungskräften und Mitarbeitern der Kapitalverwaltungsgesellschaft, deren berufliche Tätigkeit sich wesentlich auf das Risikoprofil des inländischen AIF ausgewirkt hat;</w:t>
      </w:r>
    </w:p>
    <w:p>
      <w:pPr>
        <w:ind w:left="420"/>
      </w:pPr>
      <w:r>
        <w:t xml:space="preserve">3. bei Publikumssondervermögen jede während des abgelaufenen Geschäftsjahres eingetretene wesentliche Änderung der im Verkaufsprospekt aufgeführten Informationen und bei Spezialsondervermögen jede während des abgelaufenen Geschäftsjahres eingetretene wesentliche Änderung hinsichtlich der nach § 307 Absatz 1 oder Absatz 2 Satz 1 und § 308 Absatz 4 zur Verfügung zu stellenden Informationen.</w:t>
      </w:r>
    </w:p>
    <w:p>
      <w:r>
        <w:t xml:space="preserve">Die näheren Anforderungen zu Inhalt und Form des Jahresberichts bestimmen sich für AIF nach den Artikeln 103 bis 107 der Delegierten Verordnung (EU) Nr. 231/2013.</w:t>
      </w:r>
    </w:p>
    <w:p>
      <w:r>
        <w:t xml:space="preserve">(4) Der Jahresbericht eines inländischen OGAW-Sondervermögens muss zusätzlich folgende Angaben enthalten:</w:t>
      </w:r>
    </w:p>
    <w:p>
      <w:pPr>
        <w:ind w:left="420"/>
      </w:pPr>
      <w:r>
        <w:t xml:space="preserve">1. die Gesamtsumme der im abgelaufenen Geschäftsjahr gezahlten Vergütungen, gegliedert in feste und variable von der Kapitalverwaltungsgesellschaft an ihre Mitarbeiter gezahlte Vergütungen und gegebenenfalls alle direkt von dem inländischen OGAW-Sondervermögen selbst gezahlte Beträge, einschließlich Anlageerfolgsprämien unter Angabe der Zahl der Begünstigten;</w:t>
      </w:r>
    </w:p>
    <w:p>
      <w:pPr>
        <w:ind w:left="420"/>
      </w:pPr>
      <w:r>
        <w:t xml:space="preserve">2. die Gesamtsumme der im abgelaufenen Geschäftsjahr gezahlten Vergütungen, aufgeteilt nach Geschäftsleitern, Mitarbeitern oder anderen Beschäftigten, deren Tätigkeiten einen wesentlichen Einfluss auf das Risikoprofil der Verwaltungsgesellschaft oder der verwalteten Investmentvermögen haben (Risikoträger), Mitarbeitern oder anderen Beschäftigten mit Kontrollfunktionen sowie Mitarbeitern oder anderen Beschäftigten, die eine Gesamtvergütung erhalten, auf Grund derer sie sich in derselben Einkommensstufe befinden wie Geschäftsleiter und Risikoträger;</w:t>
      </w:r>
    </w:p>
    <w:p>
      <w:pPr>
        <w:ind w:left="420"/>
      </w:pPr>
      <w:r>
        <w:t xml:space="preserve">3. eine Beschreibung darüber, wie die Vergütung und die sonstigen Zuwendungen berechnet wurden;</w:t>
      </w:r>
    </w:p>
    <w:p>
      <w:pPr>
        <w:ind w:left="420"/>
      </w:pPr>
      <w:r>
        <w:t xml:space="preserve">4. das Ergebnis der in Artikel 14b Absatz 1 Buchstabe c und d der Richtlinie 2009/65/EG genannten Überprüfungen, einschließlich aller festgestellten Unregelmäßigkeiten;</w:t>
      </w:r>
    </w:p>
    <w:p>
      <w:pPr>
        <w:ind w:left="420"/>
      </w:pPr>
      <w:r>
        <w:t xml:space="preserve">5. wesentliche Änderungen an der festgelegten Vergütungspolitik.</w:t>
      </w:r>
    </w:p>
    <w:p>
      <w:r>
        <w:rPr>
          <w:color w:val="555555"/>
          <w:sz w:val="17"/>
        </w:rPr>
        <w:t xml:space="preserve">Zitiervorschlag: § 101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https://recht.nulegal.eu/gesetze/KAGB/101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