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100a KAGB — Grunderwerbsteuer bei Übergang eines Immobilien-Sondervermögens</w:t>
      </w:r>
    </w:p>
    <w:p>
      <w:r>
        <w:rPr>
          <w:color w:val="555555"/>
          <w:sz w:val="18"/>
        </w:rPr>
        <w:t xml:space="preserve">Kapitalanlagegesetzbuch</w:t>
      </w:r>
    </w:p>
    <w:p>
      <w:r>
        <w:rPr>
          <w:color w:val="555555"/>
          <w:sz w:val="18"/>
        </w:rPr>
        <w:t xml:space="preserve">Stand: 10.06.2019 (konsolidierte Textfassung, kein amtliches Inkrafttretensdatum)</w:t>
      </w:r>
    </w:p>
    <w:p>
      <w:r>
        <w:t xml:space="preserve">Erwerbsvorgänge im Sinne des § 1 des Grunderwerbsteuergesetzes, die sich aus dem Übergang eines Immobilien-Sondervermögens auf die Verwahrstelle gemäß § 100 Absatz 1 Nummer 1 ergeben, sind von der Grunderwerbsteuer befreit, wenn sie fristgerecht und vollständig im Sinne der §§ 18 bis 20 des Grunderwerbsteuergesetzes angezeigt werden. Für Erwerbsvorgänge im Sinne des Satzes 1 findet die Vorschrift des § 17 Absatz 3 des Grunderwerbsteuergesetzes entsprechende Anwendung. Satz 1 gilt nur, wenn der Übergang des Immobilien-Sondervermögens auf die Verwahrstelle gemäß § 100 Absatz 1 Nummer 1 erfolgt, weil das Recht der AIF-Kapitalverwaltungsgesellschaft, das Immobilien-Sondervermögen zu verwalten,</w:t>
      </w:r>
    </w:p>
    <w:p>
      <w:pPr>
        <w:ind w:left="420"/>
      </w:pPr>
      <w:r>
        <w:t xml:space="preserve">1. gemäß § 99 Absatz 1 aufgrund der Kündigung des Verwaltungsrechts während einer Aussetzung der Rücknahme gemäß § 257 oder</w:t>
      </w:r>
    </w:p>
    <w:p>
      <w:pPr>
        <w:ind w:left="420"/>
      </w:pPr>
      <w:r>
        <w:t xml:space="preserve">2. gemäß § 257 Absatz 4</w:t>
      </w:r>
    </w:p>
    <w:p>
      <w:r>
        <w:t xml:space="preserve">erloschen ist, und das Immobilien-Sondervermögen gemäß § 100 Absatz 2 abgewickelt und an die Anleger verteilt wird. Die Befreiung von der Grunderwerbsteuer entfällt rückwirkend für die Grundstücke bzw. die Anteile an Immobilien-Gesellschaften oder Beteiligungen am Gesellschaftsvermögen von Immobilien-Gesellschaften, die von der Verwahrstelle nicht innerhalb von drei Jahren durch einen der Grunderwerbsteuer unterliegenden Erwerbsvorgang veräußert oder übertragen werden. Die Verwahrstelle hat innerhalb von zwei Wochen nach Ablauf der Frist nach Satz 4 den Verbleib aller inländischen erhaltenen Grundstücke sowie der Anteile an Immobilien-Gesellschaften oder Beteiligungen am Gesellschaftsvermögen von Immobilien-Gesellschaften dem zuständigen Finanzamt nachzuweisen. Wird die Nachweispflicht nach Satz 5 nicht erfüllt, entfällt die Befreiung rückwirkend.</w:t>
      </w:r>
    </w:p>
    <w:p>
      <w:r>
        <w:rPr>
          <w:color w:val="555555"/>
          <w:sz w:val="17"/>
        </w:rPr>
        <w:t xml:space="preserve">Zitiervorschlag: § 100a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https://recht.nulegal.eu/gesetze/KAGB/100a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