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KAGB — Begriffsbestimmungen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Investmentvermögen ist jeder Organismus für gemeinsame Anlagen, der von einer Anzahl von Anlegern Kapital einsammelt, um es gemäß einer festgelegten Anlagestrategie zum Nutzen dieser Anleger zu investieren und der kein operativ tätiges Unternehmen außerhalb des Finanzsektors ist. Eine Anzahl von Anlegern im Sinne des Satzes 1 ist gegeben, wenn die Anlagebedingungen, die Satzung oder der Gesellschaftsvertrag des Organismus für gemeinsame Anlagen die Anzahl möglicher Anleger nicht auf einen Anleger begrenzen.</w:t>
      </w:r>
    </w:p>
    <w:p>
      <w:r>
        <w:t xml:space="preserve">(2) Organismen für gemeinsame Anlagen in Wertpapieren (OGAW) sind Investmentvermögen, die die Anforderungen der Richtlinie 2009/65/EG des Europäischen Parlaments und des Rates vom 13. Juli 2009 zur Koordinierung der Rechts- und Verwaltungsvorschriften betreffend bestimmte Organismen für gemeinsame Anlagen in Wertpapieren (OGAW) (ABl. L 302 vom 17.11.2009, S. 1), die zuletzt durch die Richtlinie 2014/91/EU (ABl. L 257 vom 28.8.2014, S. 186) geändert worden ist, erfüllen.</w:t>
      </w:r>
    </w:p>
    <w:p>
      <w:r>
        <w:t xml:space="preserve">(3) Alternative Investmentfonds (AIF) sind alle Investmentvermögen, die keine OGAW sind.</w:t>
      </w:r>
    </w:p>
    <w:p>
      <w:r>
        <w:t xml:space="preserve">(4) Offene Investmentvermögen sind</w:t>
      </w:r>
    </w:p>
    <w:p>
      <w:pPr>
        <w:ind w:left="420"/>
      </w:pPr>
      <w:r>
        <w:t xml:space="preserve">1. OGAW und</w:t>
      </w:r>
    </w:p>
    <w:p>
      <w:pPr>
        <w:ind w:left="420"/>
      </w:pPr>
      <w:r>
        <w:t xml:space="preserve">2. AIF, die die Voraussetzungen von Artikel 1 Absatz 2 der Delegierten Verordnung (EU) Nr. 694/2014 der Kommission vom 17. Dezember 2013 zur Ergänzung der Richtlinie 2011/61/EU des Europäischen Parlaments und des Rates im Hinblick auf technische Regulierungsstandards zur Bestimmung der Arten von Verwaltern alternativer Investmentfonds (ABl. L 183 vom 24.6.2014, S. 18) erfüllen.</w:t>
      </w:r>
    </w:p>
    <w:p>
      <w:r>
        <w:t xml:space="preserve">(5) Geschlossene AIF sind alle AIF, die keine offenen AIF sind.</w:t>
      </w:r>
    </w:p>
    <w:p>
      <w:r>
        <w:t xml:space="preserve">(6) Spezial-AIF sind AIF, deren Anteile auf Grund von in Textform geschlossenen Vereinbarungen mit der Verwaltungsgesellschaft oder auf Grund der konstituierenden Dokumente des AIF nur erworben werden dürfen von</w:t>
      </w:r>
    </w:p>
    <w:p>
      <w:pPr>
        <w:ind w:left="420"/>
      </w:pPr>
      <w:r>
        <w:t xml:space="preserve">1. professionellen Anlegern im Sinne des Absatzes 19 Nummer 32 und</w:t>
      </w:r>
    </w:p>
    <w:p>
      <w:pPr>
        <w:ind w:left="420"/>
      </w:pPr>
      <w:r>
        <w:t xml:space="preserve">2. semiprofessionellen Anlegern im Sinne des Absatzes 19 Nummer 33; ein Anleger, der kraft Gesetzes Anteile an einem Spezial-AIF erwirbt, gilt als semiprofessioneller Anleger im Sinne des Absatzes 19 Nummer 33.</w:t>
      </w:r>
    </w:p>
    <w:p>
      <w:r>
        <w:t xml:space="preserve">Alle übrigen Investmentvermögen sind Publikumsinvestmentvermögen.</w:t>
      </w:r>
    </w:p>
    <w:p>
      <w:r>
        <w:t xml:space="preserve">(7) Inländische Investmentvermögen sind Investmentvermögen, die dem inländischen Recht unterliegen.</w:t>
      </w:r>
    </w:p>
    <w:p>
      <w:r>
        <w:t xml:space="preserve">(8) EU-Investmentvermögen sind Investmentvermögen, die dem Recht eines anderen Mitgliedstaates der Europäischen Union oder eines anderen Vertragsstaates des Abkommens über den Europäischen Wirtschaftsraum unterliegen.</w:t>
      </w:r>
    </w:p>
    <w:p>
      <w:r>
        <w:t xml:space="preserve">(9) Ausländische AIF sind AIF, die dem Recht eines Drittstaates unterliegen.</w:t>
      </w:r>
    </w:p>
    <w:p>
      <w:r>
        <w:t xml:space="preserve">(10) Sondervermögen sind inländische Investmentvermögen in Vertragsform, die von einer Verwaltungsgesellschaft für Rechnung der Anleger nach Maßgabe dieses Gesetzes und den Anlagebedingungen, nach denen sich das Rechtsverhältnis der Verwaltungsgesellschaft zu den Anlegern bestimmt, verwaltet werden.</w:t>
      </w:r>
    </w:p>
    <w:p>
      <w:r>
        <w:t xml:space="preserve">(11) Investmentgesellschaften sind Investmentvermögen in der Rechtsform einer Investmentaktiengesellschaft oder Investmentkommanditgesellschaft.</w:t>
      </w:r>
    </w:p>
    <w:p>
      <w:r>
        <w:t xml:space="preserve">(12) Intern verwaltete Investmentgesellschaften sind Investmentgesellschaften, die keine externe Verwaltungsgesellschaft bestellt haben.</w:t>
      </w:r>
    </w:p>
    <w:p>
      <w:r>
        <w:t xml:space="preserve">(13) Extern verwaltete Investmentgesellschaften sind Investmentgesellschaften, die eine externe Verwaltungsgesellschaft bestellt haben.</w:t>
      </w:r>
    </w:p>
    <w:p>
      <w:r>
        <w:t xml:space="preserve">(14) Verwaltungsgesellschaften sind AIF-Verwaltungsgesellschaften und OGAW-Verwaltungsgesellschaften. AIF-Verwaltungsgesellschaften sind AIF-Kapitalverwaltungsgesellschaften, EU-AIF-Verwaltungsgesellschaften und ausländische AIF-Verwaltungsgesellschaften. OGAW-Verwaltungsgesellschaften sind OGAW-Kapitalverwaltungsgesellschaften und EU-OGAW-Verwaltungsgesellschaften.</w:t>
      </w:r>
    </w:p>
    <w:p>
      <w:r>
        <w:t xml:space="preserve">(15) OGAW-Kapitalverwaltungsgesellschaften sind Kapitalverwaltungsgesellschaften gemäß § 17, die mindestens einen OGAW verwalten oder zu verwalten beabsichtigen.</w:t>
      </w:r>
    </w:p>
    <w:p>
      <w:r>
        <w:t xml:space="preserve">(16) AIF-Kapitalverwaltungsgesellschaften sind Kapitalverwaltungsgesellschaften gemäß § 17, die mindestens einen AIF verwalten oder zu verwalten beabsichtigen.</w:t>
      </w:r>
    </w:p>
    <w:p>
      <w:r>
        <w:t xml:space="preserve">(17) EU-Verwaltungsgesellschaften sind Unternehmen mit Sitz in einem anderen Mitgliedstaat der Europäischen Union oder einem anderen Vertragsstaat des Abkommens über den Europäischen Wirtschaftsraum, die den Anforderungen</w:t>
      </w:r>
    </w:p>
    <w:p>
      <w:pPr>
        <w:ind w:left="420"/>
      </w:pPr>
      <w:r>
        <w:t xml:space="preserve">1. an eine Verwaltungsgesellschaft oder an eine intern verwaltete Investmentgesellschaft im Sinne der Richtlinie 2009/65/EG oder</w:t>
      </w:r>
    </w:p>
    <w:p>
      <w:pPr>
        <w:ind w:left="420"/>
      </w:pPr>
      <w:r>
        <w:t xml:space="preserve">2. an einen Verwalter alternativer Investmentfonds im Sinne der Richtlinie 2011/61/EU des Europäischen Parlaments und des Rates vom 8. Juni 2011 über die Verwalter alternativer Investmentfonds und zur Änderung der Richtlinien 2003/41/EG und 2009/65/EG und der Verordnungen (EG) Nr. 1060/2009 und (EU) Nr. 1095/2010 (ABl. L 174 vom 1.7.2011, S. 1)</w:t>
      </w:r>
    </w:p>
    <w:p>
      <w:r>
        <w:t xml:space="preserve">entsprechen.</w:t>
      </w:r>
    </w:p>
    <w:p>
      <w:r>
        <w:t xml:space="preserve">(18) Ausländische AIF-Verwaltungsgesellschaften sind Unternehmen mit Sitz in einem Drittstaat, die den Anforderungen an einen Verwalter alternativer Investmentfonds im Sinne der Richtlinie 2011/61/EU entsprechen.</w:t>
      </w:r>
    </w:p>
    <w:p>
      <w:r>
        <w:t xml:space="preserve">(19) Die folgenden Begriffe werden für die Zwecke dieses Gesetzes wie folgt bestimmt:</w:t>
      </w:r>
    </w:p>
    <w:p>
      <w:pPr>
        <w:ind w:left="420"/>
      </w:pPr>
      <w:r>
        <w:t xml:space="preserve">1. Anfangskapital sind</w:t>
      </w:r>
    </w:p>
    <w:p>
      <w:pPr>
        <w:ind w:left="780"/>
      </w:pPr>
      <w:r>
        <w:t xml:space="preserve">a) bei Aktiengesellschaften das eingezahlte Grundkapital ohne die Aktien, die mit einem nachzuzahlenden Vorzug bei der Verteilung des Gewinns ausgestattet sind (Vorzugsaktien), und die Rücklagen,</w:t>
      </w:r>
    </w:p>
    <w:p>
      <w:pPr>
        <w:ind w:left="780"/>
      </w:pPr>
      <w:r>
        <w:t xml:space="preserve">b) bei Gesellschaften mit beschränkter Haftung das eingezahlte Stammkapital und die Rücklagen,</w:t>
      </w:r>
    </w:p>
    <w:p>
      <w:pPr>
        <w:ind w:left="780"/>
      </w:pPr>
      <w:r>
        <w:t xml:space="preserve">c) bei Kommanditgesellschaften das eingezahlte Geschäftskapital und die Rücklagen nach Abzug der Entnahmen der persönlich haftenden Gesellschafter und der diesen gewährten Kredite.</w:t>
      </w:r>
    </w:p>
    <w:p>
      <w:pPr>
        <w:ind w:left="420"/>
      </w:pPr>
      <w:r>
        <w:t xml:space="preserve">Als Rücklagen im Sinne der Buchstaben a bis c gelten die Posten im Sinne des Artikels 26 Absatz 1 Buchstabe b bis e in Verbindung mit Artikel 26 Absatz 2 bis 4 der Verordnung (EU) Nr. 575/2013 des Europäischen Parlaments und des Rates vom 26. Juni 2013 über Aufsichtsanforderungen an Kreditinstitute und Wertpapierfirmen und zur Änderung der Verordnung (EU) Nr. 646/2012 (ABl. L 176 vom 27.6.2013, S. 1).</w:t>
      </w:r>
    </w:p>
    <w:p>
      <w:pPr>
        <w:ind w:left="420"/>
      </w:pPr>
      <w:r>
        <w:t xml:space="preserve">1a. Eine natürliche oder juristische Person oder eine Personengesellschaft gilt als unzuverlässig, wenn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ihre Gelder und wirtschaftlichen Ressourcen eingefroren sind oder ihr weder unmittelbar noch mittelbar Gelder oder wirtschaftliche Ressourcen zur Verfügung gestellt werden oder zu Gute kommen dürfen. Eine natürliche Person gilt in der Regel als unzuverlässig, wenn sie als Geschäftsleiter, Aufsichtsratsmitglied oder in vergleichbarer Position für eine Person oder Personengesellschaft nach Satz 1 tätig ist; dies gilt nicht für Arbeitnehmervertreter. Eine natürliche Person gilt in der Regel auch dann als unzuverlässig, wenn sie die Interessen einer Person oder Personengesellschaft nach Satz 1 als Mitglied eines Aufsichts- oder Verwaltungsrats oder eines vergleichbaren Kontrollgremiums in einer Kapitalverwaltungsgesellschaft wahrnimmt, die nicht unter Satz 1 fällt.</w:t>
      </w:r>
    </w:p>
    <w:p>
      <w:pPr>
        <w:ind w:left="420"/>
      </w:pPr>
      <w:r>
        <w:t xml:space="preserve">2. Arbeitnehmervertreter sind Vertreter der Arbeitnehmer im Sinne von Artikel 2 Buchstabe e der Richtlinie 2002/14/EG des Europäischen Parlaments und des Rates vom 11. März 2002 zur Festlegung eines allgemeinen Rahmens für die Unterrichtung und Anhörung der Arbeitnehmer in der Europäischen Gemeinschaft (ABl. L 80 vom 23.3.2002, S. 29).</w:t>
      </w:r>
    </w:p>
    <w:p>
      <w:pPr>
        <w:ind w:left="420"/>
      </w:pPr>
      <w:r>
        <w:t xml:space="preserve">3. Aufnahmemitgliedstaat einer OGAW-Kapitalverwaltungsgesellschaft ist ein anderer Mitgliedstaat der Europäischen Union oder ein anderer Vertragsstaat des Abkommens über den Europäischen Wirtschaftsraum, in dem eine OGAW-Kapitalverwaltungsgesellschaft</w:t>
      </w:r>
    </w:p>
    <w:p>
      <w:pPr>
        <w:ind w:left="780"/>
      </w:pPr>
      <w:r>
        <w:t xml:space="preserve">a) eine Zweigniederlassung unterhält oder im Wege des grenzüberschreitenden Dienstleistungsverkehrs tätig wird, oder</w:t>
      </w:r>
    </w:p>
    <w:p>
      <w:pPr>
        <w:ind w:left="780"/>
      </w:pPr>
      <w:r>
        <w:t xml:space="preserve">b) die Absicht anzeigt, Anteile oder Aktien an einem inländischen OGAW-Investmentvermögen zu vertreiben.</w:t>
      </w:r>
    </w:p>
    <w:p>
      <w:pPr>
        <w:ind w:left="420"/>
      </w:pPr>
      <w:r>
        <w:t xml:space="preserve">4. Aufnahmemitgliedstaat einer AIF-Kapitalverwaltungsgesellschaft ist ein anderer Mitgliedstaat der Europäischen Union oder ein anderer Vertragsstaat des Abkommens über den Europäischen Wirtschaftsraum, in dem eine AIF-Kapitalverwaltungsgesellschaft</w:t>
      </w:r>
    </w:p>
    <w:p>
      <w:pPr>
        <w:ind w:left="780"/>
      </w:pPr>
      <w:r>
        <w:t xml:space="preserve">a) einen EU-AIF verwaltet oder Dienstleistungen- und Nebendienstleistungen nach Artikel 6 Absatz 4 der Richtlinie 2011/61/EU erbringt oder</w:t>
      </w:r>
    </w:p>
    <w:p>
      <w:pPr>
        <w:ind w:left="780"/>
      </w:pPr>
      <w:r>
        <w:t xml:space="preserve">b) Anteile oder Aktien an einem AIF vertreibt.</w:t>
      </w:r>
    </w:p>
    <w:p>
      <w:pPr>
        <w:ind w:left="420"/>
      </w:pPr>
      <w:r>
        <w:t xml:space="preserve">4a. Aufsichtsorganmitglieder einer Kapitalverwaltungsgesellschaft sind Aufsichtsrats- und Beiratsmitglieder.</w:t>
      </w:r>
    </w:p>
    <w:p>
      <w:pPr>
        <w:ind w:left="420"/>
      </w:pPr>
      <w:r>
        <w:t xml:space="preserve">5. Drittstaaten sind alle Staaten, die nicht Mitgliedstaat der Europäischen Union oder anderer Vertragsstaat des Abkommens über den Europäischen Wirtschaftsraum sind.</w:t>
      </w:r>
    </w:p>
    <w:p>
      <w:pPr>
        <w:ind w:left="420"/>
      </w:pPr>
      <w:r>
        <w:t xml:space="preserve">6. Eine bedeutende Beteiligung besteht, wenn unmittelbar oder mittelbar oder im Zusammenwirken mit anderen Personen oder Unternehmen mindestens 10 Prozent des Kapitals oder der Stimmrechte einer Verwaltungsgesellschaft im Eigen- oder Fremdinteresse gehalten werden oder wenn auf die Geschäftsführung einer Verwaltungsgesellschaft ein maßgeblicher Einfluss ausgeübt werden kann. Für die Berechnung des Anteils der Stimmrechte gelten § 34 Absatz 1 und 2, § 35 Absatz 1 und 2 in Verbindung mit der Rechtsverordnung nach Absatz 6 und § 36 des Wertpapierhandelsgesetzes entsprechend. Die mittelbar gehaltenen Beteiligungen sind den mittelbar beteiligten Personen und Unternehmen in vollem Umfang zuzurechnen.</w:t>
      </w:r>
    </w:p>
    <w:p>
      <w:pPr>
        <w:ind w:left="420"/>
      </w:pPr>
      <w:r>
        <w:t xml:space="preserve">6a. Die Bewirtschaftung von erneuerbaren Energien im Sinne dieses Gesetzes umfasst die Erzeugung, die Umwandlung, den Transport oder die Speicherung von erneuerbaren Energien nach § 3 Nummer 21 des Erneuerbare-Energien-Gesetzes vom 21. Juli 2014 (BGBl. I S. 1066), das zuletzt durch Artikel 23 des Gesetzes vom 18. Dezember 2025 (BGBl. 2025 I Nr. 347) geändert worden ist, in der jeweils geltenden Fassung, oder Wärme aus erneuerbaren Energien nach § 3 Absatz 1 Nummer 15 des Wärmeplanungsgesetzes vom 20. Dezember 2023 (BGBl. 2023 I Nr. 394), das zuletzt durch Artikel 9 des Gesetzes vom 22. Dezember 2025 (BGBl. 2025 I Nr. 348) geändert worden ist, in der jeweils geltenden Fassung, sowie den Transport oder die Speicherung von technisch unvermeidbarer Abwärme nach § 3 Nummer 27 des Energieeffizienzgesetzes vom 13. November 2023 (BGBl. 2023 I Nr. 209), in der jeweils geltenden Fassung.</w:t>
      </w:r>
    </w:p>
    <w:p>
      <w:pPr>
        <w:ind w:left="420"/>
      </w:pPr>
      <w:r>
        <w:t xml:space="preserve">7. Carried interest ist der Anteil an den Gewinnen des AIF, den eine AIF-Verwaltungsgesellschaft als Vergütung für die Verwaltung des AIF erhält; der carried interest umfasst nicht den Anteil der AIF-Verwaltungsgesellschaft an den Gewinnen des AIF, den die AIF-Verwaltungsgesellschaft als Gewinn für Anlagen der AIF-Verwaltungsgesellschaft in den AIF bezieht.</w:t>
      </w:r>
    </w:p>
    <w:p>
      <w:pPr>
        <w:ind w:left="420"/>
      </w:pPr>
      <w:r>
        <w:t xml:space="preserve">8. Dauerhafter Datenträger ist jedes Medium, das den Anlegern gestattet, Informationen für eine den Zwecken der Informationen angemessene Dauer zu speichern, einzusehen und unverändert wiederzugeben.</w:t>
      </w:r>
    </w:p>
    <w:p>
      <w:pPr>
        <w:ind w:left="420"/>
      </w:pPr>
      <w:r>
        <w:t xml:space="preserve">9. Eigenmittel sind Eigenmittel gemäß Artikel 72 der Verordnung (EU) Nr. 575/2013. Wenn Zweck einer Kapitalüberlassung die Überlassung solcher Eigenmittel ist, sind die §§ 313 und 314 des Bürgerlichen Gesetzbuchs und § 297 Absatz 1, § 304 Absatz 4 und § 305 Absatz 5 Satz 4 des Aktiengesetzes nicht anzuwenden.</w:t>
      </w:r>
    </w:p>
    <w:p>
      <w:pPr>
        <w:ind w:left="420"/>
      </w:pPr>
      <w:r>
        <w:t xml:space="preserve">10. Eine enge Verbindung besteht, wenn eine Kapitalverwaltungsgesellschaft oder eine extern verwaltete Investmentgesellschaft und eine andere natürliche oder juristische Person verbunden sind</w:t>
      </w:r>
    </w:p>
    <w:p>
      <w:pPr>
        <w:ind w:left="780"/>
      </w:pPr>
      <w:r>
        <w:t xml:space="preserve">a) durch das unmittelbare oder mittelbare Halten durch ein oder mehrere Tochterunternehmen oder Treuhänder von mindestens 20 Prozent des Kapitals oder der Stimmrechte oder</w:t>
      </w:r>
    </w:p>
    <w:p>
      <w:pPr>
        <w:ind w:left="780"/>
      </w:pPr>
      <w:r>
        <w:t xml:space="preserve">b) als Mutter- und Tochterunternehmen, durch ein gleichartiges Verhältnis oder als Schwesterunternehmen.</w:t>
      </w:r>
    </w:p>
    <w:p>
      <w:pPr>
        <w:ind w:left="420"/>
      </w:pPr>
      <w:r>
        <w:t xml:space="preserve">10a. Entwicklungsförderungsfonds sind Spezial-AIF, die nach den Anlagebedingungen das bei ihnen angelegte Kapital vorbehaltlich des § 292b ausschließlich in Vermögensgegenstände anlegen, die messbar zur Erreichung von Zielen für nachhaltige Entwicklung gemäß der Resolution der Generalversammlung der Vereinten Nationen vom 25. September 2015 (A/RES/70/1 vom 21. Oktober 2015, https://www.un.org/depts/ german/gv-70/band1/ar70001.pdf) in Ländern beitragen, die zum Zeitpunkt der Gründung des AIF in der Liste der Entwicklungsländer und -gebiete (https://www.bmz.de/de/ministerium/zahlen-fakten/oda-zahlen/hintergrund/dac-laenderliste-35294) enthalten sind, die vom Ausschuss für Entwicklungshilfe der Organisation für wirtschaftliche Zusammenarbeit und Entwicklung geführt wird, oder während der Laufzeit des AIF dieser Länderliste hinzugefügt werden, vorausgesetzt, dass diese Investitionen keines dieser Ziele erheblich beeinträchtigen.</w:t>
      </w:r>
    </w:p>
    <w:p>
      <w:pPr>
        <w:ind w:left="420"/>
      </w:pPr>
      <w:r>
        <w:t xml:space="preserve">11. Feederfonds sind Sondervermögen, Investmentaktiengesellschaften mit veränderlichem Kapital, Teilgesellschaftsvermögen einer Investmentaktiengesellschaft mit veränderlichem Kapital oder EU-OGAW, die mindestens 85 Prozent ihres Vermögens in einem Masterfonds anlegen.</w:t>
      </w:r>
    </w:p>
    <w:p>
      <w:pPr>
        <w:ind w:left="420"/>
      </w:pPr>
      <w:r>
        <w:t xml:space="preserve">11a. Geschlossene Feederfonds sind geschlossene Publikums-AIF, die mindestens 85 Prozent ihres Vermögens in einem geschlossenen Masterfonds anlegen.</w:t>
      </w:r>
    </w:p>
    <w:p>
      <w:pPr>
        <w:ind w:left="420"/>
      </w:pPr>
      <w:r>
        <w:t xml:space="preserve">12. Masterfonds sind OGAW oder Sonstige Investmentvermögen gemäß § 220, die Anteile an mindestens einen Feederfonds ausgegeben haben, selbst keine Feederfonds sind und keine Anteile eines Feederfonds halten.</w:t>
      </w:r>
    </w:p>
    <w:p>
      <w:pPr>
        <w:ind w:left="420"/>
      </w:pPr>
      <w:r>
        <w:t xml:space="preserve">12a. Geschlossene Masterfonds sind geschlossene Publikums-AIF, die Anteile an mindestens einen geschlossenen Feederfonds ausgegeben haben, selbst keine geschlossenen Feederfonds sind und keine Anteile eines geschlossenen Feederfonds halten.</w:t>
      </w:r>
    </w:p>
    <w:p>
      <w:pPr>
        <w:ind w:left="420"/>
      </w:pPr>
      <w:r>
        <w:t xml:space="preserve">13. Feeder-AIF bezeichnet einen AIF, der</w:t>
      </w:r>
    </w:p>
    <w:p>
      <w:pPr>
        <w:ind w:left="780"/>
      </w:pPr>
      <w:r>
        <w:t xml:space="preserve">a) mindestens 85 Prozent seines Wertes in Anteilen eines Master-AIF anlegt, oder</w:t>
      </w:r>
    </w:p>
    <w:p>
      <w:pPr>
        <w:ind w:left="780"/>
      </w:pPr>
      <w:r>
        <w:t xml:space="preserve">b) mindestens 85 Prozent seines Wertes in mehr als einem Master-AIF anlegt, die jeweils identische Anlagestrategien verfolgen, oder</w:t>
      </w:r>
    </w:p>
    <w:p>
      <w:pPr>
        <w:ind w:left="780"/>
      </w:pPr>
      <w:r>
        <w:t xml:space="preserve">c) anderweitig ein Engagement von mindestens 85 Prozent seines Wertes in einem Master-AIF hat.</w:t>
      </w:r>
    </w:p>
    <w:p>
      <w:pPr>
        <w:ind w:left="420"/>
      </w:pPr>
      <w:r>
        <w:t xml:space="preserve">14. Master-AIF sind AIF, an dem ein Feeder-AIF Anteile hält.</w:t>
      </w:r>
    </w:p>
    <w:p>
      <w:pPr>
        <w:ind w:left="420"/>
      </w:pPr>
      <w:r>
        <w:t xml:space="preserve">15. Geschäftsleiter sind diejenigen natürlichen Personen, die nach Gesetz, Satzung oder Gesellschaftsvertrag zur Führung der Geschäfte und zur Vertretung einer Kapitalverwaltungsgesellschaft berufen sind sowie diejenigen natürlichen Personen, die die Geschäfte der Kapitalverwaltungsgesellschaft tatsächlich leiten.</w:t>
      </w:r>
    </w:p>
    <w:p>
      <w:pPr>
        <w:ind w:left="420"/>
      </w:pPr>
      <w:r>
        <w:t xml:space="preserve">15a. Gesellschafterdarlehen ist ein Kredit, den ein AIF einem Unternehmen gewährt, an dem er direkt oder indirekt mindestens 5 Prozent des Kapitals oder der Stimmrechte hält, und der nicht unabhängig von den Kapitalinstrumenten, die der AIF an demselben Unternehmen hält, an Dritte verkauft werden darf.</w:t>
      </w:r>
    </w:p>
    <w:p>
      <w:pPr>
        <w:ind w:left="420"/>
      </w:pPr>
      <w:r>
        <w:t xml:space="preserve">16. Gesetzlicher Vertreter einer ausländischen AIF-Verwaltungsgesellschaft ist jede natürliche Person mit Wohnsitz in der Europäischen Union oder in einem anderen Vertragsstaat des Abkommens über den Europäischen Wirtschaftsraum oder jede juristische Person mit satzungsmäßigem Sitz oder satzungsmäßiger Zweigniederlassung in der Europäischen Union oder in einem anderen Vertragsstaat des Abkommens über den Europäischen Wirtschaftsraum, die von einer ausländischen AIF-Verwaltungsgesellschaft ausdrücklich dazu ernannt worden ist, im Namen dieser ausländischen AIF-Verwaltungsgesellschaft gegenüber Behörden, Kunden, Einrichtungen und Gegenparteien der ausländischen AIF-Verwaltungsgesellschaft in der Europäischen Union oder in einem anderen Vertragsstaat des Abkommens über den Europäischen Wirtschaftsraum hinsichtlich der Verpflichtungen der ausländischen AIF-Verwaltungsgesellschaft nach der Richtlinie 2011/61/EU zu handeln.</w:t>
      </w:r>
    </w:p>
    <w:p>
      <w:pPr>
        <w:ind w:left="420"/>
      </w:pPr>
      <w:r>
        <w:t xml:space="preserve">16a. Hebelfinanzierter AIF ist ein AIF, dessen Risiko durch die AIF-Verwaltungsgesellschaft, die ihn verwaltet, entweder durch Kreditaufnahme, durch Wertpapierleihe oder durch in Derivate eingebettete Hebelfinanzierungen oder auf andere Weise erhöht wird.</w:t>
      </w:r>
    </w:p>
    <w:p>
      <w:pPr>
        <w:ind w:left="420"/>
      </w:pPr>
      <w:r>
        <w:t xml:space="preserve">17. Herkunftsmitgliedstaat des OGAW ist der Mitgliedsstaat der Europäischen Union oder der Vertragsstaat des Abkommens über den Europäischen Wirtschaftsraum, in dem der OGAW zugelassen wurde.</w:t>
      </w:r>
    </w:p>
    <w:p>
      <w:pPr>
        <w:ind w:left="420"/>
      </w:pPr>
      <w:r>
        <w:t xml:space="preserve">18. Herkunftsmitgliedstaat des AIF ist</w:t>
      </w:r>
    </w:p>
    <w:p>
      <w:pPr>
        <w:ind w:left="780"/>
      </w:pPr>
      <w:r>
        <w:t xml:space="preserve">a) der Mitgliedstaat der Europäischen Union oder der Vertragsstaat des Abkommens über den Europäischen Wirtschaftsraum, in dem der AIF zugelassen oder registriert ist, oder im Fall der mehrfachen Zulassung oder Registrierung der Mitgliedstaat oder der Vertragsstaat, in dem der AIF zum ersten Mal zugelassen oder registriert wurde, oder</w:t>
      </w:r>
    </w:p>
    <w:p>
      <w:pPr>
        <w:ind w:left="780"/>
      </w:pPr>
      <w:r>
        <w:t xml:space="preserve">b) für den Fall, dass der AIF in keinem Mitgliedstaat der Europäischen Union oder keinem Vertragsstaat des Abkommens über den Europäischen Wirtschaftsraum zugelassen oder registriert ist, der Mitgliedstaat der Europäischen Union oder der Vertragsstaat des Abkommens über den Europäischen Wirtschaftsraum, in dem der AIF seinen Sitz oder seine Hauptverwaltung hat.</w:t>
      </w:r>
    </w:p>
    <w:p>
      <w:pPr>
        <w:ind w:left="420"/>
      </w:pPr>
      <w:r>
        <w:t xml:space="preserve">19. Herkunftsmitgliedstaat der OGAW-Verwaltungsgesellschaft ist der Mitgliedstaat der Europäischen Union oder der Vertragsstaat des Abkommens über den Europäischen Wirtschaftsraum, in dem die OGAW-Verwaltungsgesellschaft ihren Sitz hat.</w:t>
      </w:r>
    </w:p>
    <w:p>
      <w:pPr>
        <w:ind w:left="420"/>
      </w:pPr>
      <w:r>
        <w:t xml:space="preserve">20. Herkunftsmitgliedstaat der AIF-Verwaltungsgesellschaft ist,</w:t>
      </w:r>
    </w:p>
    <w:p>
      <w:pPr>
        <w:ind w:left="780"/>
      </w:pPr>
      <w:r>
        <w:t xml:space="preserve">a) im Fall einer EU-AIF-Verwaltungsgesellschaft oder einer AIF-Kapitalverwaltungsgesellschaft der Mitgliedstaat der Europäischen Union oder der Vertragsstaat des Abkommens über den Europäischen Wirtschaftsraum, in dem diese AIF-Verwaltungsgesellschaft ihren satzungsmäßigen Sitz hat,</w:t>
      </w:r>
    </w:p>
    <w:p>
      <w:pPr>
        <w:ind w:left="780"/>
      </w:pPr>
      <w:r>
        <w:t xml:space="preserve">b) im Fall einer ausländischen AIF-Verwaltungsgesellschaft der Referenzmitgliedstaat im Sinne von Artikel 37 der Richtlinie 2011/61/EU.</w:t>
      </w:r>
    </w:p>
    <w:p>
      <w:pPr>
        <w:ind w:left="420"/>
      </w:pPr>
      <w:r>
        <w:t xml:space="preserve">21. Immobilien sind Grundstücke, grundstücksgleiche Rechte und vergleichbare Rechte nach dem Recht anderer Staaten. Als grundstücksgleiche Rechte im Sinne von Satz 1 gelten auch Nießbrauchrechte im Sinne des § 231 Absatz 1 Satz 1 Nummer 6.</w:t>
      </w:r>
    </w:p>
    <w:p>
      <w:pPr>
        <w:ind w:left="420"/>
      </w:pPr>
      <w:r>
        <w:t xml:space="preserve">22. Immobilien-Gesellschaften sind Gesellschaften, die nach dem Gesellschaftsvertrag oder der Satzung nur Immobilien sowie die in § 231 Absatz 3 genannten Gegenstände erwerben dürfen.</w:t>
      </w:r>
    </w:p>
    <w:p>
      <w:pPr>
        <w:ind w:left="420"/>
      </w:pPr>
      <w:r>
        <w:t xml:space="preserve">22a. Immobilien-Investmentvermögen sind Investmentvermögen, die nach den Anlagebedingungen das bei ihnen eingelegte Geld in Immobilien anlegen.</w:t>
      </w:r>
    </w:p>
    <w:p>
      <w:pPr>
        <w:ind w:left="420"/>
      </w:pPr>
      <w:r>
        <w:t xml:space="preserve">23. Immobilien-Sondervermögen sind Sondervermögen, die nach den Anlagebedingungen das bei ihnen eingelegte Geld in Immobilien anlegen.</w:t>
      </w:r>
    </w:p>
    <w:p>
      <w:pPr>
        <w:ind w:left="420"/>
      </w:pPr>
      <w:r>
        <w:t xml:space="preserve">23a. Infrastruktur-Projektgesellschaften sind Gesellschaften, die nach dem Gesellschaftsvertrag oder der Satzung gegründet wurden, um dem Funktionieren des Gemeinwesens dienende Einrichtungen, Anlagen, Bauwerke oder jeweils Teile davon zu errichten, zu sanieren, zu betreiben oder zu bewirtschaften.</w:t>
      </w:r>
    </w:p>
    <w:p>
      <w:pPr>
        <w:ind w:left="420"/>
      </w:pPr>
      <w:r>
        <w:t xml:space="preserve">23b. Kapital des AIF ist das aggregierte eingebrachte Kapital und das noch nicht eingeforderte, einem AIF zugesagte Kapital, berechnet auf der Grundlage der Beträge, die nach Abzug sämtlicher mittelbar oder unmittelbar von den Anlegern getragenen Gebühren, Entgelte und sonstigen Kosten für Anlagen zur Verfügung stehen.</w:t>
      </w:r>
    </w:p>
    <w:p>
      <w:pPr>
        <w:ind w:left="420"/>
      </w:pPr>
      <w:r>
        <w:t xml:space="preserve">24. Kollektive Vermögensverwaltung umfasst die Portfolioverwaltung, das Risikomanagement, administrative Tätigkeiten, den Vertrieb von eigenen Investmentanteilen sowie bei AIF Tätigkeiten im Zusammenhang mit den Vermögensgegenständen des AIF, die Vergabe von Krediten im Namen eines AIF sowie die Verwaltung von Verbriefungszweckgesellschaften</w:t>
      </w:r>
    </w:p>
    <w:p>
      <w:pPr>
        <w:ind w:left="420"/>
      </w:pPr>
      <w:r>
        <w:t xml:space="preserve">24a. Kryptowerte im Sinne dieses Gesetzes sind solche nach Artikel 3 Absatz 1 Nummer 5 der Verordnung (EU) 2023/1114 des Europäischen Parlaments und des Rates vom 31. Mai 2023 über Märkte für Kryptowerte und zur Änderung der Verordnungen (EU) Nr. 1093/2010 und (EU) Nr. 1095/2010 sowie der Richtlinien 2013/36/EU und (EU) 2019/1937 (ABl. L 150 vom 9.6.2023, S. 40), die durch die Verordnung (EU) 2023/2869 (ABl. L, 2023/2869, 20.12.2023) geändert worden ist. Keine Kryptowerte im Sinne dieses Gesetzes sind solche nach Artikel 2 Absatz 4 Buchstabe a und nach Artikel 4 Absatz 3 Buchstabe c der Verordnung (EU) 2023/1114.</w:t>
      </w:r>
    </w:p>
    <w:p>
      <w:pPr>
        <w:ind w:left="420"/>
      </w:pPr>
      <w:r>
        <w:t xml:space="preserve">24b. Kreditvergabe oder Vergabe eines Kredits ist die Gewährung eines Kredits</w:t>
      </w:r>
    </w:p>
    <w:p>
      <w:pPr>
        <w:ind w:left="780"/>
      </w:pPr>
      <w:r>
        <w:t xml:space="preserve">a) direkt durch einen AIF als ursprünglicher Kreditgeber oder</w:t>
      </w:r>
    </w:p>
    <w:p>
      <w:pPr>
        <w:ind w:left="780"/>
      </w:pPr>
      <w:r>
        <w:t xml:space="preserve">b) indirekt über einen Dritten oder eine Kreditvergabezweckgesellschaft nach Nummer 24c, der oder die einen Kredit für den AIF oder in seinem Namen oder für eine AIF-Verwaltungsgesellschaft oder in deren Namen in Bezug auf den AIF vergibt, wenn der AIF oder die AIF-Verwaltungsgesellschaft an der Strukturierung des Kredits oder der Festlegung oder Vorabvereinbarung seiner Merkmale beteiligt ist, bevor der AIF oder die AIF-Verwaltungsgesellschaft ein Kreditrisiko erlangt.</w:t>
      </w:r>
    </w:p>
    <w:p>
      <w:pPr>
        <w:ind w:left="420"/>
      </w:pPr>
      <w:r>
        <w:t xml:space="preserve">24c. Kreditvergabezweckgesellschaften sind von mindestens einem AIF oder mindestens einer AIF-Verwaltungsgesellschaft beherrschte Gesellschaften, deren Zweck darin besteht, Kredite für einen AIF oder für eine AIF-Verwaltungsgesellschaft in Bezug auf den AIF oder in deren Namen zu vergeben, wenn die AIF-Verwaltungsgesellschaft oder der AIF an der Strukturierung des Kredits oder der Festlegung oder Vorabvereinbarung seiner Merkmale beteiligt ist, bevor er ein Kreditrisiko erlangt.</w:t>
      </w:r>
    </w:p>
    <w:p>
      <w:pPr>
        <w:ind w:left="420"/>
      </w:pPr>
      <w:r>
        <w:t xml:space="preserve">24d. Kreditvergebender AIF ist ein AIF,</w:t>
      </w:r>
    </w:p>
    <w:p>
      <w:pPr>
        <w:ind w:left="780"/>
      </w:pPr>
      <w:r>
        <w:t xml:space="preserve">a) dessen Anlagestrategie hauptsächlich darin besteht, Kredite zu vergeben, oder</w:t>
      </w:r>
    </w:p>
    <w:p>
      <w:pPr>
        <w:ind w:left="780"/>
      </w:pPr>
      <w:r>
        <w:t xml:space="preserve">b) dessen vergebene Kredite einen Nominalwert haben, der mindestens 50 Prozent seines Nettoinventarwerts ausmacht.</w:t>
      </w:r>
    </w:p>
    <w:p>
      <w:pPr>
        <w:ind w:left="420"/>
      </w:pPr>
      <w:r>
        <w:t xml:space="preserve">25. Leverage ist jede Methode, mit der die Verwaltungsgesellschaft den Investitionsgrad eines von ihr verwalteten Investmentvermögens durch Kreditaufnahme, Wertpapier-Darlehen, in Derivate eingebettete Hebelfinanzierungen oder auf andere Weise erhöht. Kriterien</w:t>
      </w:r>
    </w:p>
    <w:p>
      <w:pPr>
        <w:ind w:left="780"/>
      </w:pPr>
      <w:r>
        <w:t xml:space="preserve">a) zur Festlegung der Methoden für Leverage von AIF, einschließlich jeglicher Finanz- oder Rechtsstrukturen, an denen Dritte beteiligt sind, die von dem betreffenden AIF kontrolliert werden, und</w:t>
      </w:r>
    </w:p>
    <w:p>
      <w:pPr>
        <w:ind w:left="780"/>
      </w:pPr>
      <w:r>
        <w:t xml:space="preserve">b) darüber, wie Leverage von AIF zu berechnen ist,</w:t>
      </w:r>
    </w:p>
    <w:p>
      <w:pPr>
        <w:ind w:left="420"/>
      </w:pPr>
      <w:r>
        <w:t xml:space="preserve">ergeben sich aus den Artikeln 6 bis 11 der Delegierten Verordnung (EU) Nr. 231/2013 der Kommission vom 19. Dezember 2012 zur Ergänzung der Richtlinie 2011/61/EU des Europäischen Parlaments und des Rates im Hinblick auf Ausnahmen, die Bedingungen für die Ausübung der Tätigkeit, Verwahrstellen, Hebelfinanzierung, Transparenz und Beaufsichtigung (ABl. L 83 vom 22.3.2013, S. 1).</w:t>
      </w:r>
    </w:p>
    <w:p>
      <w:pPr>
        <w:ind w:left="420"/>
      </w:pPr>
      <w:r>
        <w:t xml:space="preserve">25a. Liquiditätsmanagementinstrumente im Sinne von § 30a sind:</w:t>
      </w:r>
    </w:p>
    <w:p>
      <w:pPr>
        <w:ind w:left="780"/>
      </w:pPr>
      <w:r>
        <w:t xml:space="preserve">a) Aussetzung von Ausgaben, Zeichnungen, Rückkäufen und Rücknahmen: Die Aussetzung von Ausgaben, Zeichnungen, Rückkäufen und Rücknahmen bedeutet, dass den Anlegern die Zeichnung, der Rückkauf oder die Rückgabe von Anteilen oder Aktien des Investmentvermögens vorübergehend untersagt wird.</w:t>
      </w:r>
    </w:p>
    <w:p>
      <w:pPr>
        <w:ind w:left="780"/>
      </w:pPr>
      <w:r>
        <w:t xml:space="preserve">b) Rücknahmebeschränkung: Eine Rücknahmebeschränkung bedeutet eine vorübergehende und teilweise Beschränkung des Rechts der Anleger auf Rückgabe ihrer Anteile oder Aktien, sodass die Anleger nur einen bestimmten Teil ihrer Anteile oder Aktien zurückgeben können.</w:t>
      </w:r>
    </w:p>
    <w:p>
      <w:pPr>
        <w:ind w:left="780"/>
      </w:pPr>
      <w:r>
        <w:t xml:space="preserve">c) Verlängerung der Rückgabefristen: Die Verlängerung der Rückgabefrist bedeutet, dass die Rückgabefrist über eine dem Investmentvermögen angemessene Mindestfrist hinaus verlängert wird, die die Anleger den Kapitalverwaltungsgesellschaften vor der Rückgabe oder Kündigung ihrer Anteile oder Aktien einräumen müssen.</w:t>
      </w:r>
    </w:p>
    <w:p>
      <w:pPr>
        <w:ind w:left="780"/>
      </w:pPr>
      <w:r>
        <w:t xml:space="preserve">d) Rückgabegebühr: Eine Rückgabegebühr ist eine Gebühr innerhalb einer vorgegebenen Bandbreite, die unter Berücksichtigung der Liquiditätskosten von den Anlegern bei der Rückgabe von Anteilen oder Aktien an das Investmentvermögen gezahlt wird und mit der sichergestellt wird, dass Anleger, die im Investmentvermögen verbleiben, nicht unangemessen benachteiligt werden.</w:t>
      </w:r>
    </w:p>
    <w:p>
      <w:pPr>
        <w:ind w:left="780"/>
      </w:pPr>
      <w:r>
        <w:t xml:space="preserve">e) Swing Pricing: Swing Pricing ist ein im Voraus festgelegter Mechanismus, bei dem der Nettoinventarwert der Anteile oder Aktien eines Investmentvermögens durch Anwendung eines Faktors („Swing-Faktor“) angepasst wird, der die Liquiditätskosten berücksichtigt.</w:t>
      </w:r>
    </w:p>
    <w:p>
      <w:pPr>
        <w:ind w:left="780"/>
      </w:pPr>
      <w:r>
        <w:t xml:space="preserve">f) Dual Pricing: Dual Pricing ist ein im Voraus festgelegter Mechanismus, bei dem die Ausgabe-, Zeichnungs-, Rückkaufs- und Rücknahmepreise für die Anteile oder Aktien eines Investmentvermögens festgelegt werden, indem der Nettoinventarwert pro Anteil oder Aktie um einen Faktor, der die Liquiditätskosten abbildet, angepasst wird.</w:t>
      </w:r>
    </w:p>
    <w:p>
      <w:pPr>
        <w:ind w:left="780"/>
      </w:pPr>
      <w:r>
        <w:t xml:space="preserve">g) Verwässerungsschutzgebühr: Die Verwässerungsschutzgebühr ist eine Gebühr, die ein Anleger bei der Ausgabe, der Zeichnung, dem Rückkauf oder der Rücknahme von Anteilen oder Aktien an das Investmentvermögen zahlt, die das Investmentvermögen für die aufgrund des Umfangs dieser Transaktion entstandenen Liquiditätskosten entschädigt und die sicherstellt, dass andere Anleger nicht in ungerechtfertigter Weise benachteiligt werden.</w:t>
      </w:r>
    </w:p>
    <w:p>
      <w:pPr>
        <w:ind w:left="780"/>
      </w:pPr>
      <w:r>
        <w:t xml:space="preserve">h) Sachauskehr: Sachauskehr ist die Übertragung von Vermögenswerten, die vom oder für das Investmentvermögen gehalten werden, an einen Anleger anstelle der Auszahlung des Rücknahmepreises, um Rückgaben von Anteilen oder Aktien auszuführen.</w:t>
      </w:r>
    </w:p>
    <w:p>
      <w:pPr>
        <w:ind w:left="780"/>
      </w:pPr>
      <w:r>
        <w:t xml:space="preserve">i) Abspaltung illiquider Anlagen: Die Abspaltung illiquider Anlagen bedeutet, dass bestimmte Vermögenswerte, deren wirtschaftliche oder rechtliche Merkmale sich erheblich verändert haben oder aufgrund außergewöhnlicher Umstände unsicher geworden sind, von den anderen Vermögenswerten des Investmentvermögens getrennt werden.</w:t>
      </w:r>
    </w:p>
    <w:p>
      <w:pPr>
        <w:ind w:left="420"/>
      </w:pPr>
      <w:r>
        <w:t xml:space="preserve">26. Mutterunternehmen sind Unternehmen, die Mutterunternehmen im Sinne des § 290 des Handelsgesetzbuchs sind.</w:t>
      </w:r>
    </w:p>
    <w:p>
      <w:pPr>
        <w:ind w:left="420"/>
      </w:pPr>
      <w:r>
        <w:t xml:space="preserve">27. Nicht börsennotiertes Unternehmen ist ein Unternehmen, das seinen satzungsmäßigen Sitz in der Europäischen Union oder in einem anderen Vertragsstaat des Abkommens über den Europäischen Wirtschaftsraum hat und dessen Anteile nicht zum Handel auf einem geregelten Markt im Sinne des Artikels 4 Absatz 1 Nummer 21 der Richtlinie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die zuletzt durch die Richtlinie (EU) 2016/1034 (ABl. L 175 vom 30.6.2016, S. 8) geändert worden ist, zugelassen sind.</w:t>
      </w:r>
    </w:p>
    <w:p>
      <w:pPr>
        <w:ind w:left="420"/>
      </w:pPr>
      <w:r>
        <w:t xml:space="preserve">28. ÖPP-Projektgesellschaften sind im Rahmen Öffentlich-Privater Partnerschaften tätige Gesellschaften, die nach dem Gesellschaftsvertrag oder der Satzung zu dem Zweck gegründet wurden, Anlagen oder Bauwerke zu errichten, zu sanieren, zu betreiben oder zu bewirtschaften, die der Erfüllung öffentlicher Aufgaben dienen.</w:t>
      </w:r>
    </w:p>
    <w:p>
      <w:pPr>
        <w:ind w:left="420"/>
      </w:pPr>
      <w:r>
        <w:t xml:space="preserve">29. Organisierter Markt ist ein Markt, der anerkannt und für das Publikum offen ist und dessen Funktionsweise ordnungsgemäß ist, sofern nicht ausdrücklich etwas anderes bestimmt ist.</w:t>
      </w:r>
    </w:p>
    <w:p>
      <w:pPr>
        <w:ind w:left="420"/>
      </w:pPr>
      <w:r>
        <w:t xml:space="preserve">29a. Pre-Marketing ist die durch eine AIF-Verwaltungsgesellschaft oder in deren Auftrag erfolgende direkte oder indirekte Bereitstellung von Informationen oder Mitteilung über Anlagestrategien oder Anlagekonzepte an potenzielle professionelle oder semiprofessionelle Anleger mit Wohnsitz oder satzungsmäßigem Sitz im Geltungsbereich dieses Gesetzes oder an professionelle Anleger mit Wohnsitz oder satzungsmäßigem Sitz in einem Mitgliedstaat der Europäischen Union oder eines anderen Vertragsstaates des Abkommens über den Europäischen Wirtschaftsraum mit dem Ziel festzustellen, inwieweit die Anleger Interesse haben an einem AIF oder einem Teilinvestmentvermögen, der oder das in dem Staat, in dem die potenziellen Anleger ihren Wohnsitz oder satzungsmäßigen Sitz haben, entweder noch nicht zugelassen ist oder zwar zugelassen ist, für den oder das jedoch noch keine Vertriebsanzeige erfolgt ist, wobei dies in keinem Fall ein Angebot an den oder eine Platzierung bei dem potenziellen Anleger zur Investition in die Anteile oder Aktien dieses AIF oder Teilinvestmentvermögens darstellt.</w:t>
      </w:r>
    </w:p>
    <w:p>
      <w:pPr>
        <w:ind w:left="420"/>
      </w:pPr>
      <w:r>
        <w:t xml:space="preserve">30. Primebroker ist ein Kreditinstitut im Sinne des Artikels 4 Absatz 1 Nummer 1 der Verordnung (EU) Nr. 575/2013, eine Wertpapierfirma im Sinne des Artikels 4 Absatz 1 Nummer 1 der Richtlinie 2014/65/EU oder eine andere Einheit, die einer Regulierungsaufsicht und ständigen Überwachung unterliegt und professionellen Anlegern Dienstleistungen anbietet, in erster Linie, um als Gegenpartei Geschäfte mit Finanzinstrumenten im Sinne der Richtlinie 2011/61/EU zu finanzieren oder durchzuführen, und die möglicherweise auch andere Dienstleistungen wie Clearing und Abwicklung von Geschäften, Verwahrungsdienstleistungen, Wertpapier-Darlehen und individuell angepasste Technologien und Einrichtungen zur betrieblichen Unterstützung anbietet.</w:t>
      </w:r>
    </w:p>
    <w:p>
      <w:pPr>
        <w:ind w:left="420"/>
      </w:pPr>
      <w:r>
        <w:t xml:space="preserve">31. Privatanleger sind alle Anleger, die weder professionelle noch semiprofessionelle Anleger sind.</w:t>
      </w:r>
    </w:p>
    <w:p>
      <w:pPr>
        <w:ind w:left="420"/>
      </w:pPr>
      <w:r>
        <w:t xml:space="preserve">32. Professioneller Anleger ist jeder Anleger, der im Sinne von Anhang II der Richtlinie 2014/65/EU als professioneller Kunde angesehen wird oder auf Antrag als ein professioneller Kunde behandelt werden kann.</w:t>
      </w:r>
    </w:p>
    <w:p>
      <w:pPr>
        <w:ind w:left="420"/>
      </w:pPr>
      <w:r>
        <w:t xml:space="preserve">33. Semiprofessioneller Anleger ist</w:t>
      </w:r>
    </w:p>
    <w:p>
      <w:pPr>
        <w:ind w:left="780"/>
      </w:pPr>
      <w:r>
        <w:t xml:space="preserve">a) jeder Anleger,</w:t>
      </w:r>
    </w:p>
    <w:p>
      <w:pPr>
        <w:ind w:left="1140"/>
      </w:pPr>
      <w:r>
        <w:t xml:space="preserve">aa) der sich verpflichtet, mindestens 200 000 Euro zu investieren,</w:t>
      </w:r>
    </w:p>
    <w:p>
      <w:pPr>
        <w:ind w:left="1140"/>
      </w:pPr>
      <w:r>
        <w:t xml:space="preserve">bb) der in Textform in einem vom Vertrag über die Investitionsverpflichtung getrennten Dokument angibt, dass er sich der Risiken im Zusammenhang mit der beabsichtigten Verpflichtung oder Investition bewusst ist,</w:t>
      </w:r>
    </w:p>
    <w:p>
      <w:pPr>
        <w:ind w:left="1140"/>
      </w:pPr>
      <w:r>
        <w:t xml:space="preserve">cc) dessen Sachverstand, Erfahrungen und Kenntnisse die AIF-Verwaltungsgesellschaft oder die von ihr beauftragte Vertriebsgesellschaft bewertet, ohne von der Annahme auszugehen, dass der Anleger über die Marktkenntnisse und -erfahrungen der in Anhang II Abschnitt I der Richtlinie 2014/65/EU genannten Anleger verfügt,</w:t>
      </w:r>
    </w:p>
    <w:p>
      <w:pPr>
        <w:ind w:left="1140"/>
      </w:pPr>
      <w:r>
        <w:t xml:space="preserve">dd) bei dem die AIF-Verwaltungsgesellschaft oder die von ihr beauftragte Vertriebsgesellschaft unter Berücksichtigung der Art der beabsichtigten Verpflichtung oder Investition hinreichend davon überzeugt ist, dass er in der Lage ist, seine Anlageentscheidungen selbst zu treffen und die damit einhergehenden Risiken versteht und dass eine solche Verpflichtung für den betreffenden Anleger angemessen ist, und</w:t>
      </w:r>
    </w:p>
    <w:p>
      <w:pPr>
        <w:ind w:left="1140"/>
      </w:pPr>
      <w:r>
        <w:t xml:space="preserve">ee) dem die AIF-Verwaltungsgesellschaft oder die von ihr beauftragte Vertriebsgesellschaft in Textform bestätigt, dass sie die unter Doppelbuchstabe cc genannte Bewertung vorgenommen hat und die unter Doppelbuchstabe dd genannten Voraussetzungen gegeben sind,</w:t>
      </w:r>
    </w:p>
    <w:p>
      <w:pPr>
        <w:ind w:left="780"/>
      </w:pPr>
      <w:r>
        <w:t xml:space="preserve">b) ein in § 37 Absatz 1 genannter Geschäftsleiter oder Mitarbeiter der AIF-Verwaltungsgesellschaft, sofern er in von der AIF-Verwaltungsgesellschaft verwaltete AIF investiert, oder ein Mitglied der Geschäftsführung oder des Vorstands einer extern verwalteten Investmentgesellschaft, sofern es in die extern verwaltete Investmentgesellschaft investiert,</w:t>
      </w:r>
    </w:p>
    <w:p>
      <w:pPr>
        <w:ind w:left="780"/>
      </w:pPr>
      <w:r>
        <w:t xml:space="preserve">c) jeder Anleger, der sich verpflichtet, mindestens 10 Millionen Euro in ein Investmentvermögen zu investieren,</w:t>
      </w:r>
    </w:p>
    <w:p>
      <w:pPr>
        <w:ind w:left="780"/>
      </w:pPr>
      <w:r>
        <w:t xml:space="preserve">d) jeder Anleger in der Rechtsform</w:t>
      </w:r>
    </w:p>
    <w:p>
      <w:pPr>
        <w:ind w:left="1140"/>
      </w:pPr>
      <w:r>
        <w:t xml:space="preserve">aa) einer Anstalt des öffentlichen Rechts,</w:t>
      </w:r>
    </w:p>
    <w:p>
      <w:pPr>
        <w:ind w:left="1140"/>
      </w:pPr>
      <w:r>
        <w:t xml:space="preserve">bb) einer Stiftung des öffentlichen Rechts oder</w:t>
      </w:r>
    </w:p>
    <w:p>
      <w:pPr>
        <w:ind w:left="1140"/>
      </w:pPr>
      <w:r>
        <w:t xml:space="preserve">cc) einer Gesellschaft, an der der Bund oder ein Land mehrheitlich beteiligt ist,</w:t>
      </w:r>
    </w:p>
    <w:p>
      <w:pPr>
        <w:ind w:left="780"/>
      </w:pPr>
      <w:r>
        <w:t xml:space="preserve">wenn der Bund oder das Land zum Zeitpunkt der Investition der Anstalt, der Stiftung oder der Gesellschaft in den betreffenden Spezial-AIF investiert oder investiert ist.</w:t>
      </w:r>
    </w:p>
    <w:p>
      <w:pPr>
        <w:ind w:left="420"/>
      </w:pPr>
      <w:r>
        <w:t xml:space="preserve">34. Sitz eines</w:t>
      </w:r>
    </w:p>
    <w:p>
      <w:pPr>
        <w:ind w:left="780"/>
      </w:pPr>
      <w:r>
        <w:t xml:space="preserve">a) AIF ist der satzungsmäßige Sitz oder, falls der AIF keine eigene Rechtspersönlichkeit hat, der Staat, dessen Recht der AIF unterliegt;</w:t>
      </w:r>
    </w:p>
    <w:p>
      <w:pPr>
        <w:ind w:left="780"/>
      </w:pPr>
      <w:r>
        <w:t xml:space="preserve">b) gesetzlichen Vertreters, der eine juristische Person ist, ist der satzungsmäßige Sitz oder die Zweigniederlassung der juristischen Person;</w:t>
      </w:r>
    </w:p>
    <w:p>
      <w:pPr>
        <w:ind w:left="780"/>
      </w:pPr>
      <w:r>
        <w:t xml:space="preserve">c) gesetzlichen Vertreters, der eine natürliche Person ist, ist sein Wohnsitz.</w:t>
      </w:r>
    </w:p>
    <w:p>
      <w:pPr>
        <w:ind w:left="420"/>
      </w:pPr>
      <w:r>
        <w:t xml:space="preserve">34a. (weggefallen)</w:t>
      </w:r>
    </w:p>
    <w:p>
      <w:pPr>
        <w:ind w:left="420"/>
      </w:pPr>
      <w:r>
        <w:t xml:space="preserve">35. Tochterunternehmen sind Unternehmen, die Tochterunternehmen im Sinne des § 290 des Handelsgesetzbuchs sind.</w:t>
      </w:r>
    </w:p>
    <w:p>
      <w:pPr>
        <w:ind w:left="420"/>
      </w:pPr>
      <w:r>
        <w:t xml:space="preserve">36. Verbriefungszweckgesellschaften im Sinne des § 2 Absatz 1 Nummer 7 sind Gesellschaften, deren einziger Zweck darin besteht, eine oder mehrere Verbriefungen im Sinne von Artikel 1 Absatz 2 der Verordnung (EU) Nr. 1075/2013 der Europäischen Zentralbank vom 18. Oktober 2013 über die Statistik über die Aktiva und Passiva von finanziellen Mantelkapitalgesellschaften, die Verbriefungsgeschäfte betreiben (Neufassung) (ABl. L 297 vom 7.11.2013, S. 107), und weitere zur Erfüllung dieses Zwecks geeignete Tätigkeiten durchzuführen.</w:t>
      </w:r>
    </w:p>
    <w:p>
      <w:pPr>
        <w:ind w:left="420"/>
      </w:pPr>
      <w:r>
        <w:t xml:space="preserve">37. Verschmelzungen im Sinne dieses Gesetzes sind Auflösungen ohne Abwicklung eines Sondervermögens, einer Investmentaktiengesellschaft mit veränderlichem Kapital oder einer offenen Investmentkommanditgesellschaft</w:t>
      </w:r>
    </w:p>
    <w:p>
      <w:pPr>
        <w:ind w:left="780"/>
      </w:pPr>
      <w:r>
        <w:t xml:space="preserve">a) durch Übertragung sämtlicher Vermögensgegenstände und Verbindlichkeiten eines oder mehrerer übertragender offener Investmentvermögen auf ein anderes bestehendes übernehmendes Sondervermögen, auf einen anderen bestehenden übernehmenden EU-OGAW, auf eine andere bestehende übernehmende Investmentaktiengesellschaft mit veränderlichem Kapital oder auf eine andere bestehende übernehmende offene Investmentkommanditgesellschaft (Verschmelzung durch Aufnahme) oder</w:t>
      </w:r>
    </w:p>
    <w:p>
      <w:pPr>
        <w:ind w:left="780"/>
      </w:pPr>
      <w:r>
        <w:t xml:space="preserve">b) durch Übertragung sämtlicher Vermögensgegenstände und Verbindlichkeiten zweier oder mehrerer übertragender offener Investmentvermögen auf ein neues, dadurch gegründetes übernehmendes Sondervermögen, auf einen neuen, dadurch gegründeten übernehmenden EU-OGAW, auf eine neue, dadurch gegründete übernehmende Investmentaktiengesellschaft mit veränderlichem Kapital oder auf eine neue, dadurch gegründete übernehmende offene Investmentkommanditgesellschaft (Verschmelzung durch Neugründung)</w:t>
      </w:r>
    </w:p>
    <w:p>
      <w:pPr>
        <w:ind w:left="420"/>
      </w:pPr>
      <w:r>
        <w:t xml:space="preserve">jeweils gegen Gewährung von Anteilen oder Aktien des übernehmenden Investmentvermögens an die Anleger oder Aktionäre des übertragenden Investmentvermögens sowie gegebenenfalls einer Barzahlung in Höhe von nicht mehr als 10 Prozent des Wertes eines Anteils oder einer Aktie am übertragenden Investmentvermögen.</w:t>
      </w:r>
    </w:p>
    <w:p>
      <w:pPr>
        <w:ind w:left="420"/>
      </w:pPr>
      <w:r>
        <w:t xml:space="preserve">37a. Zentralverwahrer ist ein Zentralverwahrer im Sinne von Artikel 2 Absatz 1 Nummer 1 der Verordnung (EU) Nr. 909/2014.</w:t>
      </w:r>
    </w:p>
    <w:p>
      <w:pPr>
        <w:ind w:left="420"/>
      </w:pPr>
      <w:r>
        <w:t xml:space="preserve">38. Zweigniederlassung ist in Bezug auf eine Verwaltungsgesellschaft eine Betriebsstelle, die einen rechtlich unselbstständigen Teil der Verwaltungsgesellschaft bildet und die die Dienstleistungen erbringt, für die der Verwaltungsgesellschaft eine Zulassung oder Genehmigung erteilt wurde; alle Betriebsstellen einer Verwaltungsgesellschaft mit satzungsmäßigem Sitz in einem anderen Mitgliedstaat der Europäischen Union, einem anderen Vertragsstaat des Abkommens über den Europäischen Wirtschaftsraum oder einem Drittstaat, die sich in ein und demselben Mitgliedstaat oder Vertragsstaat befinden, gelten als eine einzige Zweigniederlassung.</w:t>
      </w:r>
    </w:p>
    <w:p>
      <w:r>
        <w:rPr>
          <w:color w:val="555555"/>
          <w:sz w:val="17"/>
        </w:rPr>
        <w:t xml:space="preserve">Zitiervorschlag: § 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