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KAG (Brandenburg) — Beiträge</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und Gemeindeverbände können Beiträge erheben. Bei den dem öffentlichen Verkehr gewidmeten Straßen, Wegen und Plätzen werden keine Beiträge (Straßenbaubeiträge) erhoben.</w:t>
      </w:r>
    </w:p>
    <w:p>
      <w:r>
        <w:t xml:space="preserve">(2) Beiträge sind Geldleistungen, die dem Ersatz des Aufwands für die Herstellung, Anschaffung, Erweiterung, Erneuerung und Verbesserung öffentlicher Einrichtungen und Anlagen im Sinne des § 4 Absatz 2 oder Teilen davon, jedoch ohne die laufende Unterhaltung und Instandsetzung, dienen. Sie werden von den Grundstückseigentümerinnen und Grundstückeigentümern als Gegenleistung dafür erhoben, dass ihnen durch die Möglichkeit der Inanspruchnahme der Einrichtungen und Anlagen wirtschaftliche Vorteile geboten werden. Ist das Grundstück mit einem Erbbaurecht belastet, so tritt an die Stelle der Eigentümerin oder des Eigentümers die oder der Erbbauberechtigte. Besteht für das Grundstück ein Nutzungsrecht, so tritt die nutzende Person an die Stelle der Eigentümerin oder des Eigentümers. Nutzende sind die in § 9 des Sachenrechtsbereinigungsgesetzes vom 21. September 1994 ( BGBl. I S. 2457) genannten natürlichen oder juristischen Personen des privaten und des öffentlichen Rechts. Die Beitragspflicht dieses Personenkreises entsteht nur, wenn zum Zeitpunkt des Erlasses des Beitragsbescheides das Wahlrecht über die Bestellung eines Erbbaurechts oder den Ankauf des Grundstücks gemäß den §§ 15 und 16 des Sachenrechtsbereinigungsgesetzes bereits ausgeübt und gegen den Anspruch der nutzenden Person keine der nach dem Sachenrechtsbereinigungsgesetz statthaften Einreden und Einwendungen geltend gemacht worden sind; anderenfalls bleibt die Beitragspflicht der Grundstückseigentümerin oder des Grundstückseigentümers unberührt.</w:t>
      </w:r>
    </w:p>
    <w:p>
      <w:r>
        <w:t xml:space="preserve">(3) Beiträge können auch für Teile einer Einrichtung oder Anlage erhoben werden (Kostenspaltung). Bei der Erneuerung von leitungsgebundenen Einrichtungen und Anlagen gelten insbesondere Ortsverbindungsleitungen, Pumpwerke, Druckerhöhungsstationen, Kläranlagen, Wasserwerke und funktionell miteinander verbundene erdverlegte Leitungen zur Ver- und Entsorgung (Ortsverteilungsnetze) sowie die dazu gehörigen Haus- und Grundstücksanschlüsse, soweit diese nach § 10 Abs. 3 zur öffentlichen Einrichtung oder Anlage gehören, als jeweils selbstständig abrechenbare Teile. Für die Verbesserung von Wasserwerken und Kläranlagen im Bereich von leitungsgebundenen Einrichtungen und Anlagen können nachmalige Beiträge erhoben werden, soweit dem an die Einrichtung oder Anlage anschließbaren Grundstück ein zusätzlicher wirtschaftlicher Vorteil durch die Verbesserung entsteht.</w:t>
      </w:r>
    </w:p>
    <w:p>
      <w:r>
        <w:t xml:space="preserve">(4) Der Aufwand umfasst auch den Wert, den die von der Gemeinde oder dem Gemeindeverband für die Einrichtung oder Anlage bereitgestellten eigenen Grundstücke bei Beginn der Maßnahme haben. Er kann nach den tatsächlichen Aufwendungen oder nach Einheitssätzen, denen die der Gemeinde oder dem Gemeindeverband für gleichartige Einrichtungen oder Anlagen üblicherweise durchschnittlich erwachsenden Aufwendungen zugrunde zu legen sind, ermittelt werden. Bei leitungsgebundenen Einrichtungen und Anlagen, die der Versorgung oder der Abwasserbeseitigung dienen, kann der durchschnittliche Aufwand für die gesamte Einrichtung oder Anlage veranschlagt und zugrunde gelegt werden (Anschlußbeitrag). Zum Aufwand rechnen auch die Anschaffungs- und Herstellungskosten, die einer oder einem Dritten, deren oder dessen sich die Gemeinde oder der Gemeindeverband bedient, entstehen, soweit sie der oder dem Dritten von der Gemeinde oder dem Gemeindeverband geschuldet werden. Bei der Erneuerung von öffentlichen Einrichtungen und Anlagen bleiben die bei der Erhebung von Benutzungsgebühren nach § 6 Absatz 2 kalkulierten Abschreibungen außer Ansatz. § 6 Absatz 2 Satz 9 gilt entsprechend. Wenn die Einrichtungen oder Anlagen erfahrungsgemäß auch von der Allgemeinheit oder von der Gemeinde oder dem Gemeindeverband selbst in Anspruch genommen werden, bleibt bei der Ermittlung des Aufwandes ein dem wirtschaftlichen Vorteil der Allgemeinheit oder der Gemeinde oder des Gemeindeverbandes entsprechender Betrag außer Ansatz; Zuwendungen Dritter sind, sofern die oder der Zuwendende nichts anderes bestimmt hat, zunächst zur Deckung dieses Betrages und nur, soweit sie diesen übersteigen, zur Deckung des übrigen Aufwandes zu verwenden. Das veranschlagte Beitragsaufkommen soll den nach Satz 1 bis 7 ermittelten Aufwand, der sonst von der Gemeinde oder dem Gemeindeverband selbst aufzubringen wäre, einschließlich des Wertes der bereitgestellten eigenen Grundstücke, nicht überschreiten.</w:t>
      </w:r>
    </w:p>
    <w:p>
      <w:r>
        <w:t xml:space="preserve">(5) Der Aufwand kann auch für Abschnitte einer Einrichtung oder Anlage, wenn diese selbständig in Anspruch genommen werden können, ermittelt werden.</w:t>
      </w:r>
    </w:p>
    <w:p>
      <w:r>
        <w:t xml:space="preserve">(6) Die Beiträge sind nach den Vorteilen zu bemessen. Dabei können Gruppen von Beitragspflichtigen mit annähernd gleichen Vorteilen zusammengefasst werden. Bei leitungsgebundenen Einrichtungen und Anlagen soll ausschließlich das Maß der baulichen oder sonstigen Nutzung berücksichtigt werden. Satz 1 gilt nicht, wenn vertragliche Vereinbarungen zu Gunsten der Gemeinde oder des Gemeindeverbandes etwas anderes bestimmen. Das Beitragsgebiet umfasst auch Grundstücke oder Teile von Grundstücken im Außenbereich, soweit für diese die Möglichkeit einer Inanspruchnahme der Einrichtung oder Anlage besteht. Zur vereinfachten Bemessung der wirtschaftlichen Vorteile kann die Satzung für Grundstücke innerhalb im Zusammenhang bebauter Ortsteile und im Außenbereich ein pauschales Tiefenbegrenzungsmaß vorsehen.</w:t>
      </w:r>
    </w:p>
    <w:p>
      <w:r>
        <w:t xml:space="preserve">(7) Die Beitragspflicht entsteht mit der endgültigen Herstellung der Einrichtung oder Anlage, in den Fällen des Absatzes 3 mit der Beendigung der Teilmaßnahme und in den Fällen des Absatzes 5 mit der endgültigen Herstellung des Abschnitts. Wird ein Anschlussbeitrag nach Absatz 4 erhoben, so entsteht die Beitragspflicht, sobald das Grundstück an die Einrichtung oder Anlage angeschlossen werden kann, frühestens jedoch mit dem Inkrafttreten der rechtswirksamen Satzung; die Satzung kann einen späteren Zeitpunkt bestimmen. Im Falle der Erhebung eines Beitrages für die Erneuerung oder Verbesserung einer leitungsgebundenen Einrichtung oder Anlage gilt, soweit die Satzung keinen späteren Zeitpunkt bestimmt, Satz 1 entsprechend.</w:t>
      </w:r>
    </w:p>
    <w:p>
      <w:r>
        <w:t xml:space="preserve">(8) Die Gemeinden und Gemeindeverbände können Vorausleistungen bis zur Höhe der voraussichtlichen endgültigen Beitragsschuld verlangen, sobald mit der Durchführung der Maßnahme nach Absatz 2 Satz 1 und Absatz 5 begonnen worden ist. Ist die Beitragspflicht sechs Jahre nach Erlass des Vorausleistungsbescheids noch nicht entstanden, kann die Vorausleistung zurückverlangt werden. Hierauf ist im Vorausleistungsbescheid hinzuweisen. Der Rückzahlungsanspruch ist ab Erhebung der Vorausleistung mit zwei Prozentpunkten über dem Basiszinssatz nach § 247 des Bürgerlichen Gesetzbuches jährlich zu verzinsen. Die Vorausleistung ist mit der endgültigen Beitragsschuld zu verrechnen, auch wenn die oder der Vorausleistende nicht beitragspflichtig ist.</w:t>
      </w:r>
    </w:p>
    <w:p>
      <w:r>
        <w:t xml:space="preserve">(9) Bei leitungsgebundenen Einrichtungen und Anlagen, die der Versorgung dienen, können Baukostenzuschüsse aufgrund privatrechtlicher Vereinbarungen anstelle von Beiträgen verlangt werden.</w:t>
      </w:r>
    </w:p>
    <w:p>
      <w:r>
        <w:t xml:space="preserve">(10) Der Beitrag ruht als öffentliche Last auf dem Grundstück, im Falle des Absatzes 2 Satz 3 auf dem Erbbaurecht.</w:t>
      </w:r>
    </w:p>
    <w:p>
      <w:r>
        <w:rPr>
          <w:color w:val="555555"/>
          <w:sz w:val="17"/>
        </w:rPr>
        <w:t xml:space="preserve">Zitiervorschlag: § 8 KAG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https://recht.nulegal.eu/gesetze/KAG/8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