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KAG (Brandenburg) — Rechtsverordnung</w:t>
      </w:r>
    </w:p>
    <w:p>
      <w:r>
        <w:rPr>
          <w:color w:val="555555"/>
          <w:sz w:val="18"/>
        </w:rPr>
        <w:t xml:space="preserve">Kommunalabgabengesetz für das Land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für Kommunales zuständige Mitglied der Landesregierung wird ermächtigt, im Einvernehmen mit dem für Finanzen zuständigen Mitglied der Landesregierung durch Rechtsverordnung dieses Gesetz durch Einfügung der entsprechenden Vorschriften neu zu fassen, wenn dies wegen einer Änderung des in diesem Gesetz für anwendbar erklärten Rechts notwendig wird.</w:t>
      </w:r>
    </w:p>
    <w:p>
      <w:r>
        <w:rPr>
          <w:color w:val="555555"/>
          <w:sz w:val="17"/>
        </w:rPr>
        <w:t xml:space="preserve">Zitiervorschlag: § 17 KAG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