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KAG (Brandenburg) — Abgabenhinterziehung</w:t>
      </w:r>
    </w:p>
    <w:p>
      <w:r>
        <w:rPr>
          <w:color w:val="555555"/>
          <w:sz w:val="18"/>
        </w:rPr>
        <w:t xml:space="preserve">Kommunalabgabengesetz für das Land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Mit Freiheitsstrafe bis zu zwei Jahren oder mit Geldstrafe wird bestraft, wer</w:t>
      </w:r>
    </w:p>
    <w:p>
      <w:r>
        <w:t xml:space="preserve">der Körperschaft, der die Abgabe zusteht, oder einer anderen Behörde über abgabenrechtlich erhebliche Tatsachen unrichtige oder unvollständige Angaben macht oder</w:t>
      </w:r>
    </w:p>
    <w:p>
      <w:r>
        <w:t xml:space="preserve">die Körperschaft, der die Abgabe zusteht, pflichtwidrig über abgabenrechtlich erhebliche Tatsachen in Unkenntnis lässt</w:t>
      </w:r>
    </w:p>
    <w:p>
      <w:r>
        <w:t xml:space="preserve">und dadurch Abgaben verkürzt oder nicht gerechtfertigte Abgabenvorteile für sich oder einen anderen erlangt. §§ 370 Absatz 4, 371 und 376 der Abgabenordnung in der jeweiligen Fassung gelten entsprechend.</w:t>
      </w:r>
    </w:p>
    <w:p>
      <w:r>
        <w:t xml:space="preserve">(2) Der Versuch ist strafbar.</w:t>
      </w:r>
    </w:p>
    <w:p>
      <w:r>
        <w:t xml:space="preserve">(3) Für das Strafverfahren gelten die §§ 385, 391, 393, 395 bis 398 und 407 der Abgabenordnung in der jeweiligen Fassung entsprechend.</w:t>
      </w:r>
    </w:p>
    <w:p>
      <w:r>
        <w:rPr>
          <w:color w:val="555555"/>
          <w:sz w:val="17"/>
        </w:rPr>
        <w:t xml:space="preserve">Zitiervorschlag: § 14 KAG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https://recht.nulegal.eu/gesetze/KAG/14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