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12d KAG (Brandenburg) — Akteneinsicht</w:t>
      </w:r>
    </w:p>
    <w:p>
      <w:r>
        <w:rPr>
          <w:color w:val="555555"/>
          <w:sz w:val="18"/>
        </w:rPr>
        <w:t xml:space="preserve">Kommunalabgabengesetz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Den Beteiligten steht das Recht auf Akteneinsicht nach § 29 des Verwaltungsverfahrensgesetzes in Verbindung mit § 5 Absatz 3 des Verwaltungsverfahrensgesetzes für das Land Brandenburg zu.</w:t>
      </w:r>
    </w:p>
    <w:p>
      <w:r>
        <w:rPr>
          <w:color w:val="555555"/>
          <w:sz w:val="17"/>
        </w:rPr>
        <w:t xml:space="preserve">Zitiervorschlag: § 12d KAG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https://recht.nulegal.eu/gesetze/KAG/12d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