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12c KAG (Brandenburg) — Stundung, Erlass</w:t>
      </w:r>
    </w:p>
    <w:p>
      <w:r>
        <w:rPr>
          <w:color w:val="555555"/>
          <w:sz w:val="18"/>
        </w:rPr>
        <w:t xml:space="preserve">Kommunalabgabengesetz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Gemeinden und Gemeindeverbände können Ansprüche aus dem Abgabenschuldverhältnis ganz oder teilweise stunden, wenn deren Einziehung bei Fälligkeit eine erhebliche Härte für die Schuldenden bedeuten würde und der Anspruch durch die Stundung nicht gefährdet erscheint. Die Stundung soll in der Regel nur auf Antrag und gegen Sicherheitsleistung gewährt werden.</w:t>
      </w:r>
    </w:p>
    <w:p>
      <w:r>
        <w:t xml:space="preserve">(2) Die Gemeinden und Gemeindeverbände können Ansprüche aus dem Abgabenschuldverhältnis ganz oder teilweise erlassen, wenn deren Einziehung nach Lage des einzelnen Falls unbillig wäre; unter den gleichen Voraussetzungen können bereits entrichtete Beträge erstattet oder angerechnet werden.</w:t>
      </w:r>
    </w:p>
    <w:p>
      <w:r>
        <w:rPr>
          <w:color w:val="555555"/>
          <w:sz w:val="17"/>
        </w:rPr>
        <w:t xml:space="preserve">Zitiervorschlag: § 12c KAG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https://recht.nulegal.eu/gesetze/KAG/12c</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