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KAG (Brandenburg) — Kommunalabgaben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sind berechtigt, nach Maßgabe dieses Gesetzes Abgaben zu erheben, soweit nicht geltende Gesetze etwas anderes bestimmen. Dieses Gesetz gilt auch für kommunale Anstalten, soweit ihnen das Recht zur Abgabenerhebung zusteht.</w:t>
      </w:r>
    </w:p>
    <w:p>
      <w:r>
        <w:t xml:space="preserve">(2) Gesetze im Sinne des Kommunalabgabengesetzes für das Land Brandenburg sind Gesetze und Rechtsverordnungen.</w:t>
      </w:r>
    </w:p>
    <w:p>
      <w:r>
        <w:t xml:space="preserve">(3) Die Bestimmungen der §§ 12 bis 16, 19 und 20 gelten auch für Steuern, Gebühren, Beiträge, Umlagen und sonstige Abgaben, die von den Gemeinden und Gemeindeverbänden aufgrund anderer Gesetze erhoben werden, soweit diese keine Bestimmung treffen.</w:t>
      </w:r>
    </w:p>
    <w:p>
      <w:r>
        <w:rPr>
          <w:color w:val="555555"/>
          <w:sz w:val="17"/>
        </w:rPr>
        <w:t xml:space="preserve">Zitiervorschlag: § 1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