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KAEAnO</w:t>
      </w:r>
    </w:p>
    <w:p>
      <w:r>
        <w:rPr>
          <w:color w:val="555555"/>
          <w:sz w:val="18"/>
        </w:rPr>
        <w:t xml:space="preserve">Anordnung über die Zulässigkeit von Konzessionsabgaben der Unternehmen und Betriebe zur Versorgung mit Elektrizität, Gas und Wasser an Gemeinden und Gemeindeverbände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Wegfall oder die Herabsetzung von Konzessionsabgaben nach Maßgabe dieser Anordnung werden die Gültigkeit und die sonstigen Bestimmungen eines Konzessionsvertrags nicht berührt.</w:t>
      </w:r>
    </w:p>
    <w:p>
      <w:r>
        <w:rPr>
          <w:color w:val="555555"/>
          <w:sz w:val="17"/>
        </w:rPr>
        <w:t xml:space="preserve">Zitiervorschlag: § 10 KAEAnO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https://recht.nulegal.eu/gesetze/KAEAnO/10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