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KAEAAnO</w:t>
      </w:r>
    </w:p>
    <w:p>
      <w:r>
        <w:rPr>
          <w:color w:val="555555"/>
          <w:sz w:val="18"/>
        </w:rPr>
        <w:t xml:space="preserve">Ausführungsanordnung zur Konzessionsabgabenanordnung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verbilligte Sachleistungen gelten auch Heimfallverpflichtungen. Über das Verfahren ihrer Ablösung im Einzelfall entscheidet der Reichskommissar für die Preisbildung.</w:t>
      </w:r>
    </w:p>
    <w:p>
      <w:r>
        <w:rPr>
          <w:color w:val="555555"/>
          <w:sz w:val="17"/>
        </w:rPr>
        <w:t xml:space="preserve">Zitiervorschlag: § 13 KAEAAnO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https://recht.nulegal.eu/gesetze/KAEAAnO/13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