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KAEAAnO</w:t>
      </w:r>
    </w:p>
    <w:p>
      <w:r>
        <w:rPr>
          <w:color w:val="555555"/>
          <w:sz w:val="18"/>
        </w:rPr>
        <w:t xml:space="preserve">Ausführungsanordnung zur Konzessionsabgabenanordnung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verbilligte Sachleistungen gelten nicht unentgeltliche oder verbilligte Wasserlieferungen für Feuerlösch-, Feuerlöschübungszwecke, für Zwecke der Straßenreinigung und für öffentliche Zier- und Straßenbrunnen (auch Wasserkünste) nach der am 1. April 1941 geltenden Übung sowie die verbilligte oder kostenlose Errichtung und Unterhaltung von Anlagen für Löschwasserversorgung und Feuerschutz durch ein Wasserwerk.</w:t>
      </w:r>
    </w:p>
    <w:p>
      <w:r>
        <w:t xml:space="preserve">(2) Als Verbilligung einer Sachleistung gilt ferner nicht ein Preisnachlaß für den Eigenverbrauch der Gemeinden, Gemeindeverbände und Zweckverbände, wenn er</w:t>
      </w:r>
    </w:p>
    <w:p>
      <w:pPr>
        <w:ind w:left="420"/>
      </w:pPr>
      <w:r>
        <w:t xml:space="preserve">a) nach Hundertsätzen des Rechnungsbetrags bemessen wird und 10 vom Hundert des Rechnungsbetrags nicht übersteigt,</w:t>
      </w:r>
    </w:p>
    <w:p>
      <w:pPr>
        <w:ind w:left="420"/>
      </w:pPr>
      <w:r>
        <w:t xml:space="preserve">b) für alle Abnahmestellen einer Gemeinde, deren Verbrauch nach allgemeinen Tarifen abgerechnet wird, gleich hoch ist und</w:t>
      </w:r>
    </w:p>
    <w:p>
      <w:pPr>
        <w:ind w:left="420"/>
      </w:pPr>
      <w:r>
        <w:t xml:space="preserve">c) von dem nach allgemeinen Tarifpreisen ermittelten Rechnungsbetrag sichtbar in Abzug gebracht wird.</w:t>
      </w:r>
    </w:p>
    <w:p>
      <w:r>
        <w:rPr>
          <w:color w:val="555555"/>
          <w:sz w:val="17"/>
        </w:rPr>
        <w:t xml:space="preserve">Zitiervorschlag: § 12 KAEAAnO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https://recht.nulegal.eu/gesetze/KAEAAnO/12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