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KürschAusbV — Inkrafttreten, Außerkrafttreten</w:t>
      </w:r>
    </w:p>
    <w:p>
      <w:r>
        <w:rPr>
          <w:color w:val="555555"/>
          <w:sz w:val="18"/>
        </w:rPr>
        <w:t xml:space="preserve">Verordnung über die Berufsausbildung zum Kürschner/zur Kürschnerin in Industrie und Handwerk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1997 in Kraft.</w:t>
      </w:r>
    </w:p>
    <w:p>
      <w:r>
        <w:rPr>
          <w:color w:val="555555"/>
          <w:sz w:val="17"/>
        </w:rPr>
        <w:t xml:space="preserve">Zitiervorschlag: § 11 KürschAusbV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https://recht.nulegal.eu/gesetze/K%C3%BCrschAusbV/11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KürschAusbV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