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KüchMeistPrV</w:t>
      </w:r>
    </w:p>
    <w:p>
      <w:r>
        <w:rPr>
          <w:color w:val="555555"/>
          <w:sz w:val="18"/>
        </w:rPr>
        <w:t xml:space="preserve">Verordnung über die Prüfung zum anerkannten Abschluss Geprüfter Küchenmeister/Geprüfte Küchenmeisterin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46 Abs. 2 des Berufsbildungsgesetzes vom 14. August 1969 (BGBl. I S. 1112), der zuletzt durch Artikel 212 Nr. 4 der Verordnung vom 29. Oktober 2001 (BGBl. I S. 2785) geändert worden ist, in Verbindung mit § 1 des Zuständigkeitsanpassungsgesetzes vom 16. August 2002 (BGBl. I S. 3165) und dem Organisationserlass vom 22. Oktober 2002 (BGBl. I S. 4206) verordnet das Bundesministerium für Bildung und Forschung nach Anhören des Ständigen Ausschusses des Bundesinstituts für Berufsbildung im Einvernehmen mit dem Bundesministerium für Wirtschaft und Arbeit:</w:t>
      </w:r>
    </w:p>
    <w:p>
      <w:r>
        <w:rPr>
          <w:color w:val="555555"/>
          <w:sz w:val="17"/>
        </w:rPr>
        <w:t xml:space="preserve">Zitiervorschlag: Eingangsformel KüchMeistPrV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https://recht.nulegal.eu/gesetze/K%C3%BCchMeistPrV/eingangsformel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