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KüSchV</w:t>
      </w:r>
    </w:p>
    <w:p>
      <w:r>
        <w:rPr>
          <w:color w:val="555555"/>
          <w:sz w:val="18"/>
        </w:rPr>
        <w:t xml:space="preserve">Verordnung über die Küstenschifffahrt</w:t>
      </w:r>
    </w:p>
    <w:p>
      <w:r>
        <w:rPr>
          <w:color w:val="555555"/>
          <w:sz w:val="18"/>
        </w:rPr>
        <w:t xml:space="preserve">Historische Fassung: Stand 10.06.2019 bis 14.12.2024. Dies ist nicht die aktuelle Fassung.</w:t>
      </w:r>
    </w:p>
    <w:p>
      <w:r>
        <w:t xml:space="preserve">Auf Grund des § 9 Abs. 4 des Seeaufgabengesetzes in der Fassung der Bekanntmachung vom 18. September 1998 (BGBl. I S. 2986), der durch Artikel 1 Nr. 7 Buchstabe b des Gesetzes vom 16. Juni 2002 (BGBl. I S. 1815) geändert worden ist, und auf Grund des § 36 Abs. 3 des Gesetzes über Ordnungswidrigkeiten in der Fassung der Bekanntmachung vom 19. Februar 1987 (BGBl. I S. 602), der durch Artikel 1 Nr. 5 Buchstabe b des Gesetzes vom 26. Januar 1998 (BGBl. I S. 156, 340) geändert worden ist, 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KüSchV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https://recht.nulegal.eu/gesetze/K%C3%BCSchV/eingangsformel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