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KäseV — Geographische Herkunftsbezeichnungen</w:t>
      </w:r>
    </w:p>
    <w:p>
      <w:r>
        <w:rPr>
          <w:color w:val="555555"/>
          <w:sz w:val="18"/>
        </w:rPr>
        <w:t xml:space="preserve">Käseverordnung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Käse darf unter einer der in Anlage 1b Spalte 1 aufgeführten geographischen Herkunftsbezeichnungen nur in den Verkehr gebracht werden, wenn er</w:t>
      </w:r>
    </w:p>
    <w:p>
      <w:pPr>
        <w:ind w:left="420"/>
      </w:pPr>
      <w:r>
        <w:t xml:space="preserve">1. in dem jeweiligen in Anlage 1b Spalte 2 bezeichneten Herkunftsgebiet hergestellt worden ist und</w:t>
      </w:r>
    </w:p>
    <w:p>
      <w:pPr>
        <w:ind w:left="420"/>
      </w:pPr>
      <w:r>
        <w:t xml:space="preserve">2. den jeweiligen in Anlage 1b Spalte 3 bis 6 aufgeführten Anforderungen an die Herstellung und Beschaffenheit entspricht.</w:t>
      </w:r>
    </w:p>
    <w:p>
      <w:r>
        <w:rPr>
          <w:color w:val="555555"/>
          <w:sz w:val="17"/>
        </w:rPr>
        <w:t xml:space="preserve">Zitiervorschlag: § 8 KäseV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https://recht.nulegal.eu/gesetze/K%C3%A4seV/8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KäseV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