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KäseV — Standardsorten</w:t>
      </w:r>
    </w:p>
    <w:p>
      <w:r>
        <w:rPr>
          <w:color w:val="555555"/>
          <w:sz w:val="18"/>
        </w:rPr>
        <w:t xml:space="preserve">Käseverordnung</w:t>
      </w:r>
    </w:p>
    <w:p>
      <w:r>
        <w:rPr>
          <w:color w:val="555555"/>
          <w:sz w:val="18"/>
        </w:rPr>
        <w:t xml:space="preserve">Historische Fassung: Stand 10.06.2019 bis 14.06.2026. Dies ist nicht die aktuelle Fassung.</w:t>
      </w:r>
    </w:p>
    <w:p>
      <w:r>
        <w:t xml:space="preserve">(1) Käse darf unter der Bezeichnung einer Standardsorte der Anlage 1 nur in den Verkehr gebracht werden, wenn er den Vorschriften der Anlage 1 über die Herstellung und Beschaffenheit der Standardsorte und in seinen sonstigen Eigenschaften dem Sortentyp der Standardsorte entspricht.</w:t>
      </w:r>
    </w:p>
    <w:p>
      <w:r>
        <w:t xml:space="preserve">(2) Anstelle der Bezeichnung nach Anlage 1 dürfen verwendet werden</w:t>
      </w:r>
    </w:p>
    <w:p>
      <w:pPr>
        <w:ind w:left="420"/>
      </w:pPr>
      <w:r>
        <w:t xml:space="preserve">1. für die Standardsorten der Fettgehaltsstufen Rahmstufe und Doppelrahmstufe, ausgenommen die Standardsorte "Butterkäse" und die Standardsorten der Gruppe Frischkäse, die Bezeichnung "Rahm" oder "Sahne" in einer Wortverbindung mit der Standardsorte;</w:t>
      </w:r>
    </w:p>
    <w:p>
      <w:pPr>
        <w:ind w:left="420"/>
      </w:pPr>
      <w:r>
        <w:t xml:space="preserve">2. für Schichtkäse die Bezeichnung "Sahneschichtkäse" und für Speisequark die Bezeichnung "Speisequark mit Sahne" oder "Speisequark mit Rahm", wenn diese Standardsorten mindestens 40% Fett in der Trockenmasse enthalten.</w:t>
      </w:r>
    </w:p>
    <w:p>
      <w:r>
        <w:t xml:space="preserve">(3) Andere Käse als Standardsorten dürfen nicht mit einer Angabe in den Verkehr gebracht werden, die auf eine Standardsorte hinweist. Frischkäse mit weniger als 40% Fett in der Trockenmasse darf nicht mit einem Hinweis auf Sahne oder Rahm in den Verkehr gebracht werden.</w:t>
      </w:r>
    </w:p>
    <w:p>
      <w:r>
        <w:rPr>
          <w:color w:val="555555"/>
          <w:sz w:val="17"/>
        </w:rPr>
        <w:t xml:space="preserve">Zitiervorschlag: § 7 KäseV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https://recht.nulegal.eu/gesetze/K%C3%A4seV/7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